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D7" w:rsidRDefault="005E61D7" w:rsidP="005E61D7"/>
    <w:p w:rsidR="00FB220F" w:rsidRDefault="00FB220F" w:rsidP="00FB22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C3D37">
        <w:rPr>
          <w:b/>
        </w:rPr>
        <w:t xml:space="preserve">Présentation synthétique des informations financières essentielles </w:t>
      </w:r>
      <w:r>
        <w:rPr>
          <w:b/>
        </w:rPr>
        <w:t xml:space="preserve">                                   </w:t>
      </w:r>
      <w:r w:rsidRPr="001C3D37">
        <w:rPr>
          <w:b/>
        </w:rPr>
        <w:t xml:space="preserve">du </w:t>
      </w:r>
      <w:r>
        <w:rPr>
          <w:b/>
        </w:rPr>
        <w:t>Compte Administratif 2019</w:t>
      </w:r>
      <w:r w:rsidRPr="001C3D37">
        <w:rPr>
          <w:b/>
        </w:rPr>
        <w:t xml:space="preserve"> </w:t>
      </w:r>
      <w:r>
        <w:rPr>
          <w:b/>
        </w:rPr>
        <w:t>de la ville de Décines-Charpieu</w:t>
      </w:r>
    </w:p>
    <w:p w:rsidR="00FB220F" w:rsidRPr="001C3D37" w:rsidRDefault="00FB220F" w:rsidP="00FB22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C3D37">
        <w:rPr>
          <w:b/>
        </w:rPr>
        <w:t xml:space="preserve">(Article </w:t>
      </w:r>
      <w:bookmarkStart w:id="0" w:name="OLE_LINK4"/>
      <w:bookmarkStart w:id="1" w:name="OLE_LINK5"/>
      <w:r w:rsidRPr="001C3D37">
        <w:rPr>
          <w:b/>
        </w:rPr>
        <w:t>L 2313-1 du CGCT</w:t>
      </w:r>
      <w:bookmarkEnd w:id="0"/>
      <w:bookmarkEnd w:id="1"/>
      <w:r w:rsidRPr="001C3D37">
        <w:rPr>
          <w:b/>
        </w:rPr>
        <w:t>)</w:t>
      </w:r>
    </w:p>
    <w:p w:rsidR="00FB220F" w:rsidRDefault="00FB220F" w:rsidP="005E61D7"/>
    <w:p w:rsidR="005E61D7" w:rsidRDefault="004520FE" w:rsidP="005E61D7">
      <w:pPr>
        <w:rPr>
          <w:b/>
        </w:rPr>
      </w:pPr>
      <w:r>
        <w:rPr>
          <w:b/>
        </w:rPr>
        <w:t>Rappel des</w:t>
      </w:r>
      <w:r w:rsidR="005E61D7" w:rsidRPr="00442D7C">
        <w:rPr>
          <w:b/>
        </w:rPr>
        <w:t xml:space="preserve"> axes </w:t>
      </w:r>
      <w:r w:rsidR="00682EE9">
        <w:rPr>
          <w:b/>
        </w:rPr>
        <w:t>stratégiques</w:t>
      </w:r>
      <w:r w:rsidR="005E61D7" w:rsidRPr="00442D7C">
        <w:rPr>
          <w:b/>
        </w:rPr>
        <w:t xml:space="preserve"> </w:t>
      </w:r>
      <w:r>
        <w:rPr>
          <w:b/>
        </w:rPr>
        <w:t>de</w:t>
      </w:r>
      <w:r w:rsidR="005E61D7" w:rsidRPr="00442D7C">
        <w:rPr>
          <w:b/>
        </w:rPr>
        <w:t xml:space="preserve"> </w:t>
      </w:r>
      <w:r w:rsidR="005E61D7">
        <w:rPr>
          <w:b/>
        </w:rPr>
        <w:t>20</w:t>
      </w:r>
      <w:r w:rsidR="00682EE9">
        <w:rPr>
          <w:b/>
        </w:rPr>
        <w:t>19</w:t>
      </w:r>
    </w:p>
    <w:p w:rsidR="005E61D7" w:rsidRDefault="005E61D7" w:rsidP="005E61D7">
      <w:pPr>
        <w:jc w:val="both"/>
      </w:pPr>
      <w:r>
        <w:t xml:space="preserve">Le </w:t>
      </w:r>
      <w:r w:rsidR="00682EE9">
        <w:t>compte administratif 2019</w:t>
      </w:r>
      <w:r>
        <w:t xml:space="preserve"> de la ville de Décines-Charpieu </w:t>
      </w:r>
      <w:r w:rsidR="00682EE9">
        <w:t xml:space="preserve">reflète plusieurs axes stratégiques entrepris au cours du mandat précédent </w:t>
      </w:r>
      <w:r>
        <w:t>:</w:t>
      </w:r>
    </w:p>
    <w:p w:rsidR="00682EE9" w:rsidRDefault="00682EE9" w:rsidP="00682EE9">
      <w:pPr>
        <w:jc w:val="both"/>
      </w:pPr>
      <w:r>
        <w:t>- un maintien des tau</w:t>
      </w:r>
      <w:r w:rsidR="004520FE">
        <w:t xml:space="preserve">x de fiscalité locale. </w:t>
      </w:r>
      <w:r>
        <w:t xml:space="preserve">Depuis 2014, les taux ont été maintenus conformément aux engagements pris par l'exécutif.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252"/>
      </w:tblGrid>
      <w:tr w:rsidR="00682EE9" w:rsidTr="00582C8A">
        <w:tc>
          <w:tcPr>
            <w:tcW w:w="4928" w:type="dxa"/>
            <w:tcBorders>
              <w:bottom w:val="single" w:sz="4" w:space="0" w:color="000000"/>
            </w:tcBorders>
            <w:shd w:val="clear" w:color="auto" w:fill="B6DDE8"/>
          </w:tcPr>
          <w:p w:rsidR="00682EE9" w:rsidRPr="00582C8A" w:rsidRDefault="00682EE9" w:rsidP="00682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6DDE8"/>
          </w:tcPr>
          <w:p w:rsidR="00682EE9" w:rsidRPr="00582C8A" w:rsidRDefault="00682EE9" w:rsidP="004520FE">
            <w:pPr>
              <w:jc w:val="center"/>
              <w:rPr>
                <w:b/>
                <w:sz w:val="20"/>
                <w:szCs w:val="20"/>
              </w:rPr>
            </w:pPr>
            <w:r w:rsidRPr="00582C8A">
              <w:rPr>
                <w:b/>
                <w:sz w:val="20"/>
                <w:szCs w:val="20"/>
              </w:rPr>
              <w:t xml:space="preserve">Taux </w:t>
            </w:r>
            <w:r w:rsidR="004520FE" w:rsidRPr="00582C8A">
              <w:rPr>
                <w:b/>
                <w:sz w:val="20"/>
                <w:szCs w:val="20"/>
              </w:rPr>
              <w:t>appliqués en</w:t>
            </w:r>
            <w:r w:rsidRPr="00582C8A">
              <w:rPr>
                <w:b/>
                <w:sz w:val="20"/>
                <w:szCs w:val="20"/>
              </w:rPr>
              <w:t xml:space="preserve"> 2019 </w:t>
            </w:r>
          </w:p>
        </w:tc>
      </w:tr>
      <w:tr w:rsidR="00682EE9" w:rsidTr="00582C8A">
        <w:tc>
          <w:tcPr>
            <w:tcW w:w="4928" w:type="dxa"/>
            <w:shd w:val="clear" w:color="auto" w:fill="B6DDE8"/>
          </w:tcPr>
          <w:p w:rsidR="00682EE9" w:rsidRPr="00582C8A" w:rsidRDefault="00682EE9" w:rsidP="00682EE9">
            <w:pPr>
              <w:jc w:val="both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Taxe d'habitation</w:t>
            </w:r>
          </w:p>
        </w:tc>
        <w:tc>
          <w:tcPr>
            <w:tcW w:w="4252" w:type="dxa"/>
          </w:tcPr>
          <w:p w:rsidR="00682EE9" w:rsidRPr="00582C8A" w:rsidRDefault="00682EE9" w:rsidP="00682EE9">
            <w:pPr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17,91%</w:t>
            </w:r>
          </w:p>
        </w:tc>
      </w:tr>
      <w:tr w:rsidR="00682EE9" w:rsidTr="00582C8A">
        <w:tc>
          <w:tcPr>
            <w:tcW w:w="4928" w:type="dxa"/>
            <w:shd w:val="clear" w:color="auto" w:fill="B6DDE8"/>
          </w:tcPr>
          <w:p w:rsidR="00682EE9" w:rsidRPr="00582C8A" w:rsidRDefault="00682EE9" w:rsidP="00682EE9">
            <w:pPr>
              <w:jc w:val="both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Taxe sur le foncier bâti</w:t>
            </w:r>
          </w:p>
        </w:tc>
        <w:tc>
          <w:tcPr>
            <w:tcW w:w="4252" w:type="dxa"/>
          </w:tcPr>
          <w:p w:rsidR="00682EE9" w:rsidRPr="00582C8A" w:rsidRDefault="00682EE9" w:rsidP="00682EE9">
            <w:pPr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19,72%</w:t>
            </w:r>
          </w:p>
        </w:tc>
      </w:tr>
      <w:tr w:rsidR="00682EE9" w:rsidTr="00582C8A">
        <w:tc>
          <w:tcPr>
            <w:tcW w:w="4928" w:type="dxa"/>
            <w:shd w:val="clear" w:color="auto" w:fill="B6DDE8"/>
          </w:tcPr>
          <w:p w:rsidR="00682EE9" w:rsidRPr="00582C8A" w:rsidRDefault="00682EE9" w:rsidP="00682EE9">
            <w:pPr>
              <w:jc w:val="both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Taxe sur le foncier non bâti</w:t>
            </w:r>
          </w:p>
        </w:tc>
        <w:tc>
          <w:tcPr>
            <w:tcW w:w="4252" w:type="dxa"/>
          </w:tcPr>
          <w:p w:rsidR="00682EE9" w:rsidRPr="00582C8A" w:rsidRDefault="00682EE9" w:rsidP="00682EE9">
            <w:pPr>
              <w:jc w:val="center"/>
              <w:rPr>
                <w:sz w:val="20"/>
                <w:szCs w:val="20"/>
              </w:rPr>
            </w:pPr>
            <w:r w:rsidRPr="00582C8A">
              <w:rPr>
                <w:sz w:val="20"/>
                <w:szCs w:val="20"/>
              </w:rPr>
              <w:t>103,85%</w:t>
            </w:r>
          </w:p>
        </w:tc>
      </w:tr>
    </w:tbl>
    <w:p w:rsidR="00682EE9" w:rsidRDefault="00682EE9" w:rsidP="005E61D7">
      <w:pPr>
        <w:jc w:val="both"/>
      </w:pPr>
    </w:p>
    <w:p w:rsidR="005E61D7" w:rsidRDefault="005E61D7" w:rsidP="005E61D7">
      <w:pPr>
        <w:jc w:val="both"/>
      </w:pPr>
      <w:r>
        <w:t>- une volonté de contenir les dépenses de fonctionnement en lien avec des recettes peu dynamiques (notamment dues aux baisses des dotations de l'Etat de plus de 2 millions d'euros soit -60% en 7 ans)</w:t>
      </w:r>
    </w:p>
    <w:p w:rsidR="005E61D7" w:rsidRDefault="005E61D7" w:rsidP="005E61D7">
      <w:pPr>
        <w:jc w:val="both"/>
      </w:pPr>
      <w:r>
        <w:t xml:space="preserve">- une politique d'investissement soutenue afin de répondre aux besoins de la population. Les principaux projets sont </w:t>
      </w:r>
      <w:r w:rsidR="00682EE9">
        <w:t xml:space="preserve">la requalification du Parc </w:t>
      </w:r>
      <w:proofErr w:type="spellStart"/>
      <w:r w:rsidR="00682EE9">
        <w:t>Troussier</w:t>
      </w:r>
      <w:proofErr w:type="spellEnd"/>
      <w:r w:rsidR="00682EE9">
        <w:t>, la création de</w:t>
      </w:r>
      <w:r w:rsidR="00582C8A">
        <w:t xml:space="preserve">s </w:t>
      </w:r>
      <w:r w:rsidR="00682EE9">
        <w:t>Hall</w:t>
      </w:r>
      <w:r w:rsidR="00582C8A">
        <w:t xml:space="preserve">es </w:t>
      </w:r>
      <w:proofErr w:type="spellStart"/>
      <w:r w:rsidR="00582C8A">
        <w:t>Décinoises</w:t>
      </w:r>
      <w:proofErr w:type="spellEnd"/>
      <w:r w:rsidR="00682EE9">
        <w:t xml:space="preserve"> et la construction du nouveau Groupe Scolaire rue Emile Bertrand</w:t>
      </w:r>
      <w:r>
        <w:t xml:space="preserve">. </w:t>
      </w:r>
    </w:p>
    <w:p w:rsidR="005E61D7" w:rsidRDefault="005E61D7" w:rsidP="005E61D7">
      <w:pPr>
        <w:jc w:val="both"/>
      </w:pPr>
      <w:r>
        <w:t>- une maîtrise de la dette avec un ratio d'encours de la dette par habitant bien en deçà de la moyenne des collectivités de la même strate.</w:t>
      </w:r>
    </w:p>
    <w:p w:rsidR="005E61D7" w:rsidRDefault="005E61D7" w:rsidP="005E61D7">
      <w:pPr>
        <w:jc w:val="both"/>
        <w:rPr>
          <w:b/>
        </w:rPr>
      </w:pPr>
    </w:p>
    <w:p w:rsidR="004520FE" w:rsidRDefault="004520FE" w:rsidP="005E61D7">
      <w:pPr>
        <w:jc w:val="both"/>
        <w:rPr>
          <w:b/>
        </w:rPr>
      </w:pPr>
    </w:p>
    <w:p w:rsidR="004520FE" w:rsidRDefault="004520FE" w:rsidP="005E61D7">
      <w:pPr>
        <w:jc w:val="both"/>
        <w:rPr>
          <w:b/>
        </w:rPr>
      </w:pPr>
    </w:p>
    <w:p w:rsidR="00FB220F" w:rsidRDefault="00FB220F" w:rsidP="00FB220F">
      <w:pPr>
        <w:rPr>
          <w:b/>
        </w:rPr>
      </w:pPr>
    </w:p>
    <w:p w:rsidR="005E61D7" w:rsidRPr="0054447F" w:rsidRDefault="00682EE9" w:rsidP="00FB220F">
      <w:pPr>
        <w:rPr>
          <w:b/>
        </w:rPr>
      </w:pPr>
      <w:r>
        <w:rPr>
          <w:b/>
        </w:rPr>
        <w:t>Les résultats du compte administratif 2019</w:t>
      </w:r>
    </w:p>
    <w:p w:rsidR="005E61D7" w:rsidRDefault="005E61D7" w:rsidP="005E61D7">
      <w:pPr>
        <w:jc w:val="both"/>
      </w:pPr>
      <w:r>
        <w:t xml:space="preserve">Les </w:t>
      </w:r>
      <w:r w:rsidR="00682EE9">
        <w:t>résultats</w:t>
      </w:r>
      <w:r>
        <w:t xml:space="preserve"> se décomposent comme suit </w:t>
      </w:r>
      <w:r w:rsidR="00A03C8A">
        <w:t>(</w:t>
      </w:r>
      <w:r w:rsidR="0096651B">
        <w:t>y compris report de l’exercice n-1 et rattachements)</w:t>
      </w:r>
      <w: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E61D7" w:rsidRPr="008E7C50" w:rsidTr="00682EE9">
        <w:tc>
          <w:tcPr>
            <w:tcW w:w="3070" w:type="dxa"/>
            <w:shd w:val="clear" w:color="auto" w:fill="B6DDE8"/>
          </w:tcPr>
          <w:p w:rsidR="005E61D7" w:rsidRPr="001108A4" w:rsidRDefault="005E61D7" w:rsidP="00682EE9">
            <w:pPr>
              <w:spacing w:after="0" w:line="240" w:lineRule="auto"/>
              <w:rPr>
                <w:b/>
              </w:rPr>
            </w:pPr>
            <w:bookmarkStart w:id="2" w:name="OLE_LINK1"/>
            <w:bookmarkStart w:id="3" w:name="OLE_LINK2"/>
            <w:bookmarkStart w:id="4" w:name="OLE_LINK3"/>
            <w:r>
              <w:rPr>
                <w:b/>
              </w:rPr>
              <w:t xml:space="preserve">En € </w:t>
            </w:r>
          </w:p>
        </w:tc>
        <w:tc>
          <w:tcPr>
            <w:tcW w:w="3071" w:type="dxa"/>
            <w:shd w:val="clear" w:color="auto" w:fill="B6DDE8"/>
          </w:tcPr>
          <w:p w:rsidR="005E61D7" w:rsidRPr="001108A4" w:rsidRDefault="005E61D7" w:rsidP="00682EE9">
            <w:pPr>
              <w:spacing w:after="0" w:line="240" w:lineRule="auto"/>
              <w:rPr>
                <w:b/>
              </w:rPr>
            </w:pPr>
            <w:r w:rsidRPr="001108A4">
              <w:rPr>
                <w:b/>
              </w:rPr>
              <w:t>Dépenses</w:t>
            </w:r>
          </w:p>
        </w:tc>
        <w:tc>
          <w:tcPr>
            <w:tcW w:w="3071" w:type="dxa"/>
            <w:shd w:val="clear" w:color="auto" w:fill="B6DDE8"/>
          </w:tcPr>
          <w:p w:rsidR="005E61D7" w:rsidRPr="001108A4" w:rsidRDefault="005E61D7" w:rsidP="00682EE9">
            <w:pPr>
              <w:spacing w:after="0" w:line="240" w:lineRule="auto"/>
              <w:rPr>
                <w:b/>
              </w:rPr>
            </w:pPr>
            <w:r w:rsidRPr="001108A4">
              <w:rPr>
                <w:b/>
              </w:rPr>
              <w:t>Recettes</w:t>
            </w:r>
          </w:p>
        </w:tc>
      </w:tr>
      <w:tr w:rsidR="005E61D7" w:rsidRPr="008E7C50" w:rsidTr="00682EE9">
        <w:tc>
          <w:tcPr>
            <w:tcW w:w="3070" w:type="dxa"/>
          </w:tcPr>
          <w:p w:rsidR="005E61D7" w:rsidRPr="00C9723F" w:rsidRDefault="005E61D7" w:rsidP="00682EE9">
            <w:pPr>
              <w:spacing w:after="0" w:line="240" w:lineRule="auto"/>
            </w:pPr>
            <w:r w:rsidRPr="00C9723F">
              <w:t xml:space="preserve">Fonctionnement </w:t>
            </w:r>
          </w:p>
        </w:tc>
        <w:tc>
          <w:tcPr>
            <w:tcW w:w="3071" w:type="dxa"/>
          </w:tcPr>
          <w:p w:rsidR="005E61D7" w:rsidRPr="00C9723F" w:rsidRDefault="00A03C8A" w:rsidP="004520FE">
            <w:pPr>
              <w:spacing w:after="0" w:line="240" w:lineRule="auto"/>
            </w:pPr>
            <w:r>
              <w:t>3</w:t>
            </w:r>
            <w:r w:rsidR="004520FE">
              <w:t>5 831 261,53</w:t>
            </w:r>
          </w:p>
        </w:tc>
        <w:tc>
          <w:tcPr>
            <w:tcW w:w="3071" w:type="dxa"/>
          </w:tcPr>
          <w:p w:rsidR="005E61D7" w:rsidRPr="00C9723F" w:rsidRDefault="00A03C8A" w:rsidP="00CC4B0D">
            <w:pPr>
              <w:spacing w:after="0" w:line="240" w:lineRule="auto"/>
            </w:pPr>
            <w:r>
              <w:t>3</w:t>
            </w:r>
            <w:r w:rsidR="00CC4B0D">
              <w:t>5 485 347,09</w:t>
            </w:r>
          </w:p>
        </w:tc>
      </w:tr>
      <w:tr w:rsidR="00CC4B0D" w:rsidRPr="008E7C50" w:rsidTr="00C1241D">
        <w:tc>
          <w:tcPr>
            <w:tcW w:w="3070" w:type="dxa"/>
            <w:tcBorders>
              <w:bottom w:val="single" w:sz="4" w:space="0" w:color="000000"/>
            </w:tcBorders>
          </w:tcPr>
          <w:p w:rsidR="00CC4B0D" w:rsidRPr="00C9723F" w:rsidRDefault="00CC4B0D" w:rsidP="00682EE9">
            <w:pPr>
              <w:spacing w:after="0" w:line="240" w:lineRule="auto"/>
            </w:pPr>
            <w:r>
              <w:t>Report du résultat 2018 Fonctionnement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</w:tcPr>
          <w:p w:rsidR="00CC4B0D" w:rsidRPr="005223FF" w:rsidRDefault="00CC4B0D" w:rsidP="004520FE">
            <w:pPr>
              <w:spacing w:after="0" w:line="240" w:lineRule="auto"/>
            </w:pPr>
            <w:r>
              <w:t>-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</w:tcPr>
          <w:p w:rsidR="00CC4B0D" w:rsidRDefault="00CC4B0D" w:rsidP="0096651B">
            <w:pPr>
              <w:spacing w:after="0" w:line="240" w:lineRule="auto"/>
            </w:pPr>
            <w:r>
              <w:t>1 014 00,08</w:t>
            </w:r>
          </w:p>
        </w:tc>
      </w:tr>
      <w:tr w:rsidR="007A6E71" w:rsidRPr="008E7C50" w:rsidTr="00C1241D">
        <w:tc>
          <w:tcPr>
            <w:tcW w:w="307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7A6E71" w:rsidRPr="00C9723F" w:rsidRDefault="00582C8A" w:rsidP="00682EE9">
            <w:pPr>
              <w:spacing w:after="0" w:line="240" w:lineRule="auto"/>
            </w:pPr>
            <w:r>
              <w:t>Total s</w:t>
            </w:r>
            <w:r w:rsidR="007A6E71">
              <w:t>ection de fonctionnement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7A6E71" w:rsidRPr="005223FF" w:rsidRDefault="007A6E71" w:rsidP="004520FE">
            <w:pPr>
              <w:spacing w:after="0" w:line="240" w:lineRule="auto"/>
            </w:pPr>
            <w:r>
              <w:t>35 831 261,53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7A6E71" w:rsidRDefault="007A6E71" w:rsidP="00CC4B0D">
            <w:pPr>
              <w:spacing w:after="0" w:line="240" w:lineRule="auto"/>
            </w:pPr>
            <w:r>
              <w:t>36 499 349,17</w:t>
            </w:r>
          </w:p>
        </w:tc>
      </w:tr>
      <w:tr w:rsidR="005E61D7" w:rsidRPr="008E7C50" w:rsidTr="00682EE9">
        <w:tc>
          <w:tcPr>
            <w:tcW w:w="3070" w:type="dxa"/>
            <w:tcBorders>
              <w:bottom w:val="single" w:sz="4" w:space="0" w:color="000000"/>
            </w:tcBorders>
          </w:tcPr>
          <w:p w:rsidR="005E61D7" w:rsidRPr="00C9723F" w:rsidRDefault="005E61D7" w:rsidP="00682EE9">
            <w:pPr>
              <w:spacing w:after="0" w:line="240" w:lineRule="auto"/>
            </w:pPr>
            <w:r w:rsidRPr="00C9723F">
              <w:t>Investissement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</w:tcPr>
          <w:p w:rsidR="005E61D7" w:rsidRPr="00C9723F" w:rsidRDefault="005223FF" w:rsidP="004520FE">
            <w:pPr>
              <w:spacing w:after="0" w:line="240" w:lineRule="auto"/>
            </w:pPr>
            <w:r w:rsidRPr="005223FF">
              <w:t>10</w:t>
            </w:r>
            <w:r w:rsidR="004520FE">
              <w:t> 103 964,22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</w:tcPr>
          <w:p w:rsidR="005E61D7" w:rsidRPr="00C9723F" w:rsidRDefault="004520FE" w:rsidP="00CC4B0D">
            <w:pPr>
              <w:spacing w:after="0" w:line="240" w:lineRule="auto"/>
            </w:pPr>
            <w:r>
              <w:t>1</w:t>
            </w:r>
            <w:r w:rsidR="00CC4B0D">
              <w:t>0 328 404,17</w:t>
            </w:r>
          </w:p>
        </w:tc>
      </w:tr>
      <w:tr w:rsidR="00CC4B0D" w:rsidRPr="008E7C50" w:rsidTr="00C1241D">
        <w:tc>
          <w:tcPr>
            <w:tcW w:w="3070" w:type="dxa"/>
            <w:tcBorders>
              <w:bottom w:val="single" w:sz="4" w:space="0" w:color="000000"/>
            </w:tcBorders>
          </w:tcPr>
          <w:p w:rsidR="00CC4B0D" w:rsidRPr="00C9723F" w:rsidRDefault="00CC4B0D" w:rsidP="00682EE9">
            <w:pPr>
              <w:spacing w:after="0" w:line="240" w:lineRule="auto"/>
            </w:pPr>
            <w:r>
              <w:t>Report du résultat 2018 Investissement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</w:tcPr>
          <w:p w:rsidR="00CC4B0D" w:rsidRPr="005223FF" w:rsidRDefault="00CC4B0D" w:rsidP="004520FE">
            <w:pPr>
              <w:spacing w:after="0" w:line="240" w:lineRule="auto"/>
            </w:pPr>
            <w:r>
              <w:t>-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</w:tcPr>
          <w:p w:rsidR="00CC4B0D" w:rsidRDefault="00CC4B0D" w:rsidP="0096651B">
            <w:pPr>
              <w:spacing w:after="0" w:line="240" w:lineRule="auto"/>
            </w:pPr>
            <w:r>
              <w:t>725 656,45</w:t>
            </w:r>
          </w:p>
        </w:tc>
      </w:tr>
      <w:tr w:rsidR="00C1241D" w:rsidRPr="008E7C50" w:rsidTr="00C1241D">
        <w:tc>
          <w:tcPr>
            <w:tcW w:w="3070" w:type="dxa"/>
            <w:shd w:val="clear" w:color="auto" w:fill="F2F2F2" w:themeFill="background1" w:themeFillShade="F2"/>
          </w:tcPr>
          <w:p w:rsidR="00C1241D" w:rsidRPr="00C1241D" w:rsidRDefault="00582C8A" w:rsidP="00682EE9">
            <w:pPr>
              <w:spacing w:after="0" w:line="240" w:lineRule="auto"/>
            </w:pPr>
            <w:r>
              <w:t>Total s</w:t>
            </w:r>
            <w:r w:rsidR="00C1241D" w:rsidRPr="00C1241D">
              <w:t>ection d’investissement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C1241D" w:rsidRPr="00C1241D" w:rsidRDefault="00C1241D" w:rsidP="004520FE">
            <w:pPr>
              <w:spacing w:after="0" w:line="240" w:lineRule="auto"/>
            </w:pPr>
            <w:r w:rsidRPr="00C1241D">
              <w:t>10 103 964,22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C1241D" w:rsidRPr="00C1241D" w:rsidRDefault="00C1241D" w:rsidP="0096651B">
            <w:pPr>
              <w:spacing w:after="0" w:line="240" w:lineRule="auto"/>
            </w:pPr>
            <w:r w:rsidRPr="00C1241D">
              <w:t>11 053 969,62</w:t>
            </w:r>
          </w:p>
        </w:tc>
      </w:tr>
      <w:tr w:rsidR="005E61D7" w:rsidRPr="008E7C50" w:rsidTr="00682EE9">
        <w:tc>
          <w:tcPr>
            <w:tcW w:w="3070" w:type="dxa"/>
            <w:shd w:val="clear" w:color="auto" w:fill="B6DDE8"/>
          </w:tcPr>
          <w:p w:rsidR="005E61D7" w:rsidRPr="00C9723F" w:rsidRDefault="005E61D7" w:rsidP="00682EE9">
            <w:pPr>
              <w:spacing w:after="0" w:line="240" w:lineRule="auto"/>
              <w:rPr>
                <w:b/>
              </w:rPr>
            </w:pPr>
            <w:r w:rsidRPr="00C9723F">
              <w:rPr>
                <w:b/>
              </w:rPr>
              <w:t>Total</w:t>
            </w:r>
          </w:p>
        </w:tc>
        <w:tc>
          <w:tcPr>
            <w:tcW w:w="3071" w:type="dxa"/>
            <w:shd w:val="clear" w:color="auto" w:fill="B6DDE8"/>
          </w:tcPr>
          <w:p w:rsidR="005E61D7" w:rsidRPr="00C9723F" w:rsidRDefault="005223FF" w:rsidP="004520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4520FE">
              <w:rPr>
                <w:b/>
              </w:rPr>
              <w:t>5 935 225,75</w:t>
            </w:r>
          </w:p>
        </w:tc>
        <w:tc>
          <w:tcPr>
            <w:tcW w:w="3071" w:type="dxa"/>
            <w:shd w:val="clear" w:color="auto" w:fill="B6DDE8"/>
          </w:tcPr>
          <w:p w:rsidR="005E61D7" w:rsidRPr="00C9723F" w:rsidRDefault="005223FF" w:rsidP="009665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96651B">
              <w:rPr>
                <w:b/>
              </w:rPr>
              <w:t>7 553 318,79</w:t>
            </w:r>
            <w:r w:rsidR="00A03C8A">
              <w:rPr>
                <w:b/>
              </w:rPr>
              <w:t xml:space="preserve"> </w:t>
            </w:r>
          </w:p>
        </w:tc>
      </w:tr>
    </w:tbl>
    <w:bookmarkEnd w:id="2"/>
    <w:bookmarkEnd w:id="3"/>
    <w:bookmarkEnd w:id="4"/>
    <w:p w:rsidR="005E61D7" w:rsidRDefault="005E61D7" w:rsidP="005E61D7">
      <w:r>
        <w:t xml:space="preserve">  </w:t>
      </w:r>
    </w:p>
    <w:p w:rsidR="00582C8A" w:rsidRDefault="00582C8A" w:rsidP="005E61D7">
      <w:r>
        <w:t xml:space="preserve">Les réalisations 2019 permettent de dégager un résultat excédentaire tant en fonctionnement qu’en investissement qui a vocation à être intégré au budget primitif 2020.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1241D" w:rsidTr="00C1241D">
        <w:tc>
          <w:tcPr>
            <w:tcW w:w="3070" w:type="dxa"/>
            <w:shd w:val="clear" w:color="auto" w:fill="D6E3BC" w:themeFill="accent3" w:themeFillTint="66"/>
          </w:tcPr>
          <w:p w:rsidR="00C1241D" w:rsidRPr="00C1241D" w:rsidRDefault="00C1241D" w:rsidP="00C1241D">
            <w:pPr>
              <w:rPr>
                <w:b/>
              </w:rPr>
            </w:pPr>
            <w:r w:rsidRPr="00C1241D">
              <w:rPr>
                <w:b/>
              </w:rPr>
              <w:t>Résultat 2019 à reporter sur 2020</w:t>
            </w:r>
            <w:r w:rsidR="00061161">
              <w:rPr>
                <w:b/>
              </w:rPr>
              <w:t xml:space="preserve"> en €</w:t>
            </w:r>
          </w:p>
        </w:tc>
        <w:tc>
          <w:tcPr>
            <w:tcW w:w="3071" w:type="dxa"/>
            <w:shd w:val="clear" w:color="auto" w:fill="D6E3BC" w:themeFill="accent3" w:themeFillTint="66"/>
          </w:tcPr>
          <w:p w:rsidR="00C1241D" w:rsidRPr="00C1241D" w:rsidRDefault="00C1241D" w:rsidP="005E61D7">
            <w:pPr>
              <w:rPr>
                <w:b/>
              </w:rPr>
            </w:pPr>
            <w:r w:rsidRPr="00C1241D">
              <w:rPr>
                <w:b/>
              </w:rPr>
              <w:t>Dépenses</w:t>
            </w:r>
          </w:p>
        </w:tc>
        <w:tc>
          <w:tcPr>
            <w:tcW w:w="3071" w:type="dxa"/>
            <w:shd w:val="clear" w:color="auto" w:fill="D6E3BC" w:themeFill="accent3" w:themeFillTint="66"/>
          </w:tcPr>
          <w:p w:rsidR="00C1241D" w:rsidRPr="00C1241D" w:rsidRDefault="00C1241D" w:rsidP="005E61D7">
            <w:pPr>
              <w:rPr>
                <w:b/>
              </w:rPr>
            </w:pPr>
            <w:r w:rsidRPr="00C1241D">
              <w:rPr>
                <w:b/>
              </w:rPr>
              <w:t>Recettes</w:t>
            </w:r>
          </w:p>
        </w:tc>
      </w:tr>
      <w:tr w:rsidR="00C1241D" w:rsidTr="00C1241D">
        <w:tc>
          <w:tcPr>
            <w:tcW w:w="3070" w:type="dxa"/>
          </w:tcPr>
          <w:p w:rsidR="00C1241D" w:rsidRDefault="00C1241D" w:rsidP="005E61D7">
            <w:r>
              <w:t>En fonctionnement</w:t>
            </w:r>
          </w:p>
        </w:tc>
        <w:tc>
          <w:tcPr>
            <w:tcW w:w="3071" w:type="dxa"/>
          </w:tcPr>
          <w:p w:rsidR="00C1241D" w:rsidRDefault="00C1241D" w:rsidP="005E61D7">
            <w:r>
              <w:t>-</w:t>
            </w:r>
          </w:p>
        </w:tc>
        <w:tc>
          <w:tcPr>
            <w:tcW w:w="3071" w:type="dxa"/>
          </w:tcPr>
          <w:p w:rsidR="00C1241D" w:rsidRDefault="00C1241D" w:rsidP="005E61D7">
            <w:r>
              <w:t>668 087,64</w:t>
            </w:r>
          </w:p>
        </w:tc>
      </w:tr>
      <w:tr w:rsidR="00C1241D" w:rsidTr="00C1241D">
        <w:tc>
          <w:tcPr>
            <w:tcW w:w="3070" w:type="dxa"/>
          </w:tcPr>
          <w:p w:rsidR="00C1241D" w:rsidRDefault="00C1241D" w:rsidP="005E61D7">
            <w:r>
              <w:t>En investissement</w:t>
            </w:r>
          </w:p>
        </w:tc>
        <w:tc>
          <w:tcPr>
            <w:tcW w:w="3071" w:type="dxa"/>
          </w:tcPr>
          <w:p w:rsidR="00C1241D" w:rsidRDefault="00C1241D" w:rsidP="005E61D7">
            <w:r>
              <w:t>-</w:t>
            </w:r>
          </w:p>
        </w:tc>
        <w:tc>
          <w:tcPr>
            <w:tcW w:w="3071" w:type="dxa"/>
          </w:tcPr>
          <w:p w:rsidR="00C1241D" w:rsidRDefault="00F15C14" w:rsidP="005E61D7">
            <w:r>
              <w:t>950 005,40</w:t>
            </w:r>
            <w:bookmarkStart w:id="5" w:name="_GoBack"/>
            <w:bookmarkEnd w:id="5"/>
          </w:p>
        </w:tc>
      </w:tr>
    </w:tbl>
    <w:p w:rsidR="00C1241D" w:rsidRDefault="00C1241D" w:rsidP="005E61D7"/>
    <w:p w:rsidR="00582C8A" w:rsidRDefault="00582C8A" w:rsidP="005E61D7">
      <w:r>
        <w:t xml:space="preserve">Les restes à réaliser constatés en section d’investissement devront également être intégrés dans le budget primitif 2020.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27434" w:rsidTr="00727434">
        <w:tc>
          <w:tcPr>
            <w:tcW w:w="3070" w:type="dxa"/>
            <w:shd w:val="clear" w:color="auto" w:fill="E5B8B7" w:themeFill="accent2" w:themeFillTint="66"/>
          </w:tcPr>
          <w:p w:rsidR="00727434" w:rsidRDefault="00727434" w:rsidP="005E61D7">
            <w:pPr>
              <w:rPr>
                <w:b/>
              </w:rPr>
            </w:pPr>
            <w:r>
              <w:rPr>
                <w:b/>
              </w:rPr>
              <w:t>Restes à réaliser  à reporter sur 2020</w:t>
            </w:r>
            <w:r w:rsidR="00061161">
              <w:rPr>
                <w:b/>
              </w:rPr>
              <w:t xml:space="preserve"> en €</w:t>
            </w:r>
          </w:p>
        </w:tc>
        <w:tc>
          <w:tcPr>
            <w:tcW w:w="3071" w:type="dxa"/>
            <w:shd w:val="clear" w:color="auto" w:fill="E5B8B7" w:themeFill="accent2" w:themeFillTint="66"/>
          </w:tcPr>
          <w:p w:rsidR="00727434" w:rsidRDefault="00727434" w:rsidP="005E61D7">
            <w:pPr>
              <w:rPr>
                <w:b/>
              </w:rPr>
            </w:pPr>
            <w:r>
              <w:rPr>
                <w:b/>
              </w:rPr>
              <w:t>Dépenses</w:t>
            </w:r>
          </w:p>
        </w:tc>
        <w:tc>
          <w:tcPr>
            <w:tcW w:w="3071" w:type="dxa"/>
            <w:shd w:val="clear" w:color="auto" w:fill="E5B8B7" w:themeFill="accent2" w:themeFillTint="66"/>
          </w:tcPr>
          <w:p w:rsidR="00727434" w:rsidRDefault="00727434" w:rsidP="005E61D7">
            <w:pPr>
              <w:rPr>
                <w:b/>
              </w:rPr>
            </w:pPr>
            <w:r>
              <w:rPr>
                <w:b/>
              </w:rPr>
              <w:t>Recettes</w:t>
            </w:r>
          </w:p>
        </w:tc>
      </w:tr>
      <w:tr w:rsidR="00727434" w:rsidTr="00727434">
        <w:tc>
          <w:tcPr>
            <w:tcW w:w="3070" w:type="dxa"/>
          </w:tcPr>
          <w:p w:rsidR="00727434" w:rsidRPr="00727434" w:rsidRDefault="00727434" w:rsidP="005E61D7">
            <w:r w:rsidRPr="00727434">
              <w:t>Investissement</w:t>
            </w:r>
          </w:p>
        </w:tc>
        <w:tc>
          <w:tcPr>
            <w:tcW w:w="3071" w:type="dxa"/>
          </w:tcPr>
          <w:p w:rsidR="00727434" w:rsidRPr="00727434" w:rsidRDefault="00727434" w:rsidP="005E61D7">
            <w:r w:rsidRPr="00727434">
              <w:t>324 680,48</w:t>
            </w:r>
          </w:p>
        </w:tc>
        <w:tc>
          <w:tcPr>
            <w:tcW w:w="3071" w:type="dxa"/>
          </w:tcPr>
          <w:p w:rsidR="00727434" w:rsidRPr="00727434" w:rsidRDefault="00727434" w:rsidP="005E61D7">
            <w:r w:rsidRPr="00727434">
              <w:t>375 240,55</w:t>
            </w:r>
          </w:p>
        </w:tc>
      </w:tr>
    </w:tbl>
    <w:p w:rsidR="00727434" w:rsidRDefault="00727434" w:rsidP="005E61D7">
      <w:pPr>
        <w:rPr>
          <w:b/>
        </w:rPr>
      </w:pPr>
    </w:p>
    <w:p w:rsidR="00A200EF" w:rsidRDefault="00A200EF">
      <w:pPr>
        <w:rPr>
          <w:b/>
        </w:rPr>
      </w:pPr>
      <w:r>
        <w:rPr>
          <w:b/>
        </w:rPr>
        <w:br w:type="page"/>
      </w:r>
    </w:p>
    <w:p w:rsidR="00582C8A" w:rsidRDefault="00582C8A" w:rsidP="005E61D7">
      <w:pPr>
        <w:rPr>
          <w:b/>
        </w:rPr>
      </w:pPr>
    </w:p>
    <w:p w:rsidR="005E61D7" w:rsidRPr="008E7C50" w:rsidRDefault="005E61D7" w:rsidP="005E61D7">
      <w:pPr>
        <w:rPr>
          <w:b/>
        </w:rPr>
      </w:pPr>
      <w:r w:rsidRPr="008E7C50">
        <w:rPr>
          <w:b/>
        </w:rPr>
        <w:t>Concernant la section de fonctionnement:</w:t>
      </w:r>
    </w:p>
    <w:p w:rsidR="005E61D7" w:rsidRDefault="005E61D7" w:rsidP="005E61D7">
      <w:r>
        <w:t xml:space="preserve">Le détail des dépenses </w:t>
      </w:r>
      <w:r w:rsidR="00061161">
        <w:t xml:space="preserve">réelles </w:t>
      </w:r>
      <w:r>
        <w:t>par chapitre est le suivant:</w:t>
      </w: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4507"/>
        <w:gridCol w:w="1985"/>
      </w:tblGrid>
      <w:tr w:rsidR="005E61D7" w:rsidRPr="000B1FD3" w:rsidTr="00682EE9">
        <w:trPr>
          <w:trHeight w:val="31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 xml:space="preserve">Chapitre 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Libellé du chapitre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 xml:space="preserve"> - typologie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5E61D7" w:rsidRPr="000B1FD3" w:rsidRDefault="00A03C8A" w:rsidP="005E61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CA 2019</w:t>
            </w:r>
            <w:r w:rsidR="00061161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 xml:space="preserve"> en €</w:t>
            </w:r>
          </w:p>
        </w:tc>
      </w:tr>
      <w:tr w:rsidR="005E61D7" w:rsidRPr="000B1FD3" w:rsidTr="00682EE9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011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Charges à caractère général</w:t>
            </w:r>
            <w:r>
              <w:rPr>
                <w:rFonts w:eastAsia="Times New Roman"/>
                <w:color w:val="000000"/>
                <w:szCs w:val="24"/>
                <w:lang w:eastAsia="fr-FR"/>
              </w:rPr>
              <w:t xml:space="preserve"> – dépenses courantes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A03C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 xml:space="preserve">     4</w:t>
            </w:r>
            <w:r w:rsidR="00061161">
              <w:rPr>
                <w:rFonts w:eastAsia="Times New Roman"/>
                <w:color w:val="000000"/>
                <w:szCs w:val="24"/>
                <w:lang w:eastAsia="fr-FR"/>
              </w:rPr>
              <w:t> 595</w:t>
            </w:r>
            <w:r w:rsidR="00A03C8A">
              <w:rPr>
                <w:rFonts w:eastAsia="Times New Roman"/>
                <w:color w:val="000000"/>
                <w:szCs w:val="24"/>
                <w:lang w:eastAsia="fr-FR"/>
              </w:rPr>
              <w:t> 973,41</w:t>
            </w:r>
          </w:p>
        </w:tc>
      </w:tr>
      <w:tr w:rsidR="005E61D7" w:rsidRPr="000B1FD3" w:rsidTr="00682EE9">
        <w:trPr>
          <w:trHeight w:val="63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012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Charges de personnel et frais assimilés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A03C8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 xml:space="preserve">   </w:t>
            </w:r>
            <w:r w:rsidR="00A03C8A">
              <w:rPr>
                <w:rFonts w:eastAsia="Times New Roman"/>
                <w:color w:val="000000"/>
                <w:szCs w:val="24"/>
                <w:lang w:eastAsia="fr-FR"/>
              </w:rPr>
              <w:t>20 638 183,29</w:t>
            </w: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 xml:space="preserve">  </w:t>
            </w:r>
          </w:p>
        </w:tc>
      </w:tr>
      <w:tr w:rsidR="005E61D7" w:rsidRPr="000B1FD3" w:rsidTr="00682EE9">
        <w:trPr>
          <w:trHeight w:val="63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014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Atténuation de produits</w:t>
            </w:r>
            <w:r>
              <w:rPr>
                <w:rFonts w:eastAsia="Times New Roman"/>
                <w:color w:val="000000"/>
                <w:szCs w:val="24"/>
                <w:lang w:eastAsia="fr-FR"/>
              </w:rPr>
              <w:t xml:space="preserve">- fonds de péréquation des ressources communales et intercommunales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A03C8A" w:rsidP="00682EE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325</w:t>
            </w:r>
            <w:r w:rsidR="00061161">
              <w:rPr>
                <w:rFonts w:eastAsia="Times New Roman"/>
                <w:color w:val="000000"/>
                <w:szCs w:val="24"/>
                <w:lang w:eastAsia="fr-FR"/>
              </w:rPr>
              <w:t> </w:t>
            </w:r>
            <w:r>
              <w:rPr>
                <w:rFonts w:eastAsia="Times New Roman"/>
                <w:color w:val="000000"/>
                <w:szCs w:val="24"/>
                <w:lang w:eastAsia="fr-FR"/>
              </w:rPr>
              <w:t>790</w:t>
            </w:r>
            <w:r w:rsidR="00061161">
              <w:rPr>
                <w:rFonts w:eastAsia="Times New Roman"/>
                <w:color w:val="000000"/>
                <w:szCs w:val="24"/>
                <w:lang w:eastAsia="fr-FR"/>
              </w:rPr>
              <w:t>,00</w:t>
            </w:r>
          </w:p>
        </w:tc>
      </w:tr>
      <w:tr w:rsidR="005E61D7" w:rsidRPr="000B1FD3" w:rsidTr="00682EE9">
        <w:trPr>
          <w:trHeight w:val="63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65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Autres charges de gestion courante</w:t>
            </w:r>
            <w:r>
              <w:rPr>
                <w:rFonts w:eastAsia="Times New Roman"/>
                <w:color w:val="000000"/>
                <w:szCs w:val="24"/>
                <w:lang w:eastAsia="fr-FR"/>
              </w:rPr>
              <w:t xml:space="preserve"> – subventions aux associations – CCAS et centres sociaux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A03C8A" w:rsidP="00682EE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4 160 999,34</w:t>
            </w:r>
          </w:p>
        </w:tc>
      </w:tr>
      <w:tr w:rsidR="005E61D7" w:rsidRPr="000B1FD3" w:rsidTr="00682EE9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66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Charges financières</w:t>
            </w:r>
            <w:r>
              <w:rPr>
                <w:rFonts w:eastAsia="Times New Roman"/>
                <w:color w:val="000000"/>
                <w:szCs w:val="24"/>
                <w:lang w:eastAsia="fr-FR"/>
              </w:rPr>
              <w:t xml:space="preserve"> – intérêts de la dette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A03C8A" w:rsidP="00682EE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417 436,59</w:t>
            </w:r>
          </w:p>
        </w:tc>
      </w:tr>
      <w:tr w:rsidR="005E61D7" w:rsidRPr="000B1FD3" w:rsidTr="00682EE9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67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Charges exceptionnelles</w:t>
            </w:r>
            <w:r>
              <w:rPr>
                <w:rFonts w:eastAsia="Times New Roman"/>
                <w:color w:val="000000"/>
                <w:szCs w:val="24"/>
                <w:lang w:eastAsia="fr-FR"/>
              </w:rPr>
              <w:t xml:space="preserve"> – subventions exceptionnelles – régie autonome du toboggan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A03C8A" w:rsidP="00682EE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1 007 838,03</w:t>
            </w:r>
          </w:p>
        </w:tc>
      </w:tr>
      <w:tr w:rsidR="005E61D7" w:rsidRPr="000B1FD3" w:rsidTr="00682EE9">
        <w:trPr>
          <w:trHeight w:val="315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Total dépenses réelles de fonctionnement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hideMark/>
          </w:tcPr>
          <w:p w:rsidR="005E61D7" w:rsidRPr="005E61D7" w:rsidRDefault="005E61D7" w:rsidP="00061161">
            <w:pPr>
              <w:spacing w:after="0" w:line="240" w:lineRule="auto"/>
              <w:jc w:val="right"/>
              <w:rPr>
                <w:b/>
              </w:rPr>
            </w:pPr>
            <w:r w:rsidRPr="005E61D7">
              <w:rPr>
                <w:b/>
              </w:rPr>
              <w:t>31</w:t>
            </w:r>
            <w:r w:rsidR="00061161">
              <w:rPr>
                <w:b/>
              </w:rPr>
              <w:t> 146 220,44</w:t>
            </w:r>
          </w:p>
        </w:tc>
      </w:tr>
    </w:tbl>
    <w:p w:rsidR="005E61D7" w:rsidRDefault="005E61D7" w:rsidP="005E61D7"/>
    <w:p w:rsidR="005E61D7" w:rsidRDefault="005E61D7" w:rsidP="005E61D7">
      <w:r>
        <w:t xml:space="preserve">Le détail des recettes </w:t>
      </w:r>
      <w:r w:rsidR="00061161">
        <w:t xml:space="preserve">réelles </w:t>
      </w:r>
      <w:r>
        <w:t>par chapitre est le suivant:</w:t>
      </w: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4507"/>
        <w:gridCol w:w="1985"/>
      </w:tblGrid>
      <w:tr w:rsidR="005E61D7" w:rsidRPr="000B1FD3" w:rsidTr="00682EE9">
        <w:trPr>
          <w:trHeight w:val="31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 xml:space="preserve">Chapitre 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Libellé du chapitre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 xml:space="preserve"> – typologie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5E61D7" w:rsidRPr="000B1FD3" w:rsidRDefault="00A03C8A" w:rsidP="005E61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CA 2019</w:t>
            </w:r>
            <w:r w:rsidR="00061161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 xml:space="preserve"> en €</w:t>
            </w:r>
          </w:p>
        </w:tc>
      </w:tr>
      <w:tr w:rsidR="005E61D7" w:rsidRPr="000B1FD3" w:rsidTr="00061161">
        <w:trPr>
          <w:trHeight w:val="62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013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Atténuation de charges</w:t>
            </w:r>
            <w:r>
              <w:rPr>
                <w:rFonts w:eastAsia="Times New Roman"/>
                <w:color w:val="000000"/>
                <w:szCs w:val="24"/>
                <w:lang w:eastAsia="fr-FR"/>
              </w:rPr>
              <w:t xml:space="preserve"> – remboursement charges de personnels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A03C8A" w:rsidP="005E61D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152 790,46</w:t>
            </w:r>
          </w:p>
        </w:tc>
      </w:tr>
      <w:tr w:rsidR="005E61D7" w:rsidRPr="000B1FD3" w:rsidTr="00682EE9">
        <w:trPr>
          <w:trHeight w:val="63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70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Produits des services, du domaine et ventes</w:t>
            </w:r>
            <w:r>
              <w:rPr>
                <w:rFonts w:eastAsia="Times New Roman"/>
                <w:color w:val="000000"/>
                <w:szCs w:val="24"/>
                <w:lang w:eastAsia="fr-FR"/>
              </w:rPr>
              <w:t xml:space="preserve"> – recettes des services publics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A03C8A" w:rsidP="00682EE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2 264 856,60</w:t>
            </w:r>
          </w:p>
        </w:tc>
      </w:tr>
      <w:tr w:rsidR="005E61D7" w:rsidRPr="000B1FD3" w:rsidTr="00682EE9">
        <w:trPr>
          <w:trHeight w:val="63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73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Impôts et taxes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A03C8A" w:rsidP="005E61D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24 729 075,76</w:t>
            </w:r>
          </w:p>
        </w:tc>
      </w:tr>
      <w:tr w:rsidR="005E61D7" w:rsidRPr="000B1FD3" w:rsidTr="00682EE9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74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Dotations et participations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A03C8A" w:rsidP="00682EE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4 070 103,24</w:t>
            </w:r>
          </w:p>
        </w:tc>
      </w:tr>
      <w:tr w:rsidR="005E61D7" w:rsidRPr="000B1FD3" w:rsidTr="00682EE9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75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Autres produits de gestion courante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A03C8A" w:rsidP="00682EE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277 436,56</w:t>
            </w:r>
          </w:p>
        </w:tc>
      </w:tr>
      <w:tr w:rsidR="005E61D7" w:rsidRPr="000B1FD3" w:rsidTr="00682EE9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77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color w:val="000000"/>
                <w:szCs w:val="24"/>
                <w:lang w:eastAsia="fr-FR"/>
              </w:rPr>
              <w:t>Produits exceptionnels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B1FD3" w:rsidRDefault="00A03C8A" w:rsidP="00682EE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3 643 275,08</w:t>
            </w:r>
          </w:p>
        </w:tc>
      </w:tr>
      <w:tr w:rsidR="005E61D7" w:rsidRPr="000B1FD3" w:rsidTr="00682EE9">
        <w:trPr>
          <w:trHeight w:val="315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5E61D7" w:rsidRPr="000B1FD3" w:rsidRDefault="005E61D7" w:rsidP="00682E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0B1FD3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Total recettes réelles de fonctionnement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5E61D7" w:rsidRPr="000B1FD3" w:rsidRDefault="00A03C8A" w:rsidP="00682EE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A03C8A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35 137 537,70</w:t>
            </w:r>
          </w:p>
        </w:tc>
      </w:tr>
    </w:tbl>
    <w:p w:rsidR="005E61D7" w:rsidRDefault="005E61D7" w:rsidP="005E61D7"/>
    <w:p w:rsidR="00582C8A" w:rsidRDefault="005E61D7" w:rsidP="005E61D7">
      <w:pPr>
        <w:rPr>
          <w:b/>
        </w:rPr>
      </w:pPr>
      <w:r>
        <w:rPr>
          <w:b/>
        </w:rPr>
        <w:br w:type="page"/>
      </w:r>
    </w:p>
    <w:p w:rsidR="00582C8A" w:rsidRDefault="00582C8A" w:rsidP="005E61D7">
      <w:pPr>
        <w:rPr>
          <w:b/>
        </w:rPr>
      </w:pPr>
    </w:p>
    <w:p w:rsidR="005E61D7" w:rsidRPr="008E7C50" w:rsidRDefault="005E61D7" w:rsidP="005E61D7">
      <w:pPr>
        <w:rPr>
          <w:b/>
        </w:rPr>
      </w:pPr>
      <w:r>
        <w:rPr>
          <w:b/>
        </w:rPr>
        <w:t>C</w:t>
      </w:r>
      <w:r w:rsidRPr="008E7C50">
        <w:rPr>
          <w:b/>
        </w:rPr>
        <w:t>oncernant la section d</w:t>
      </w:r>
      <w:r>
        <w:rPr>
          <w:b/>
        </w:rPr>
        <w:t>'investissement</w:t>
      </w:r>
      <w:r w:rsidRPr="008E7C50">
        <w:rPr>
          <w:b/>
        </w:rPr>
        <w:t>:</w:t>
      </w:r>
    </w:p>
    <w:p w:rsidR="005E61D7" w:rsidRDefault="005E61D7" w:rsidP="005E61D7">
      <w:r>
        <w:t>Le détail des dépenses par chapitre est le suivant</w:t>
      </w:r>
      <w:r w:rsidR="00BD58B1">
        <w:t xml:space="preserve"> (y compris restes à réaliser)</w:t>
      </w:r>
      <w:r>
        <w:t>:</w:t>
      </w: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4507"/>
        <w:gridCol w:w="1985"/>
      </w:tblGrid>
      <w:tr w:rsidR="005E61D7" w:rsidRPr="00003D28" w:rsidTr="00682EE9">
        <w:trPr>
          <w:trHeight w:val="31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5E61D7" w:rsidRPr="00003D28" w:rsidRDefault="005E61D7" w:rsidP="00682E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003D28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 xml:space="preserve">Chapitre 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5E61D7" w:rsidRPr="00003D28" w:rsidRDefault="005E61D7" w:rsidP="00682E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003D28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Libellé du chapitre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 xml:space="preserve"> – typologie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5E61D7" w:rsidRPr="00003D28" w:rsidRDefault="00A03C8A" w:rsidP="005E61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CA 2019</w:t>
            </w:r>
            <w:r w:rsidR="00BD58B1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 xml:space="preserve"> en €</w:t>
            </w:r>
          </w:p>
        </w:tc>
      </w:tr>
      <w:tr w:rsidR="005E61D7" w:rsidRPr="00003D28" w:rsidTr="00682EE9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03D28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03D28">
              <w:rPr>
                <w:rFonts w:eastAsia="Times New Roman"/>
                <w:color w:val="000000"/>
                <w:szCs w:val="24"/>
                <w:lang w:eastAsia="fr-FR"/>
              </w:rPr>
              <w:t>16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03D28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03D28">
              <w:rPr>
                <w:rFonts w:eastAsia="Times New Roman"/>
                <w:color w:val="000000"/>
                <w:szCs w:val="24"/>
                <w:lang w:eastAsia="fr-FR"/>
              </w:rPr>
              <w:t>Emprunts et dettes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03D28" w:rsidRDefault="00EA42B3" w:rsidP="00561DB2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1 883 086,14</w:t>
            </w:r>
          </w:p>
        </w:tc>
      </w:tr>
      <w:tr w:rsidR="005E61D7" w:rsidRPr="00003D28" w:rsidTr="00682EE9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03D28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03D28">
              <w:rPr>
                <w:rFonts w:eastAsia="Times New Roman"/>
                <w:color w:val="000000"/>
                <w:szCs w:val="24"/>
                <w:lang w:eastAsia="fr-FR"/>
              </w:rPr>
              <w:t>20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03D28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03D28">
              <w:rPr>
                <w:rFonts w:eastAsia="Times New Roman"/>
                <w:color w:val="000000"/>
                <w:szCs w:val="24"/>
                <w:lang w:eastAsia="fr-FR"/>
              </w:rPr>
              <w:t>Immobilisations incorporelles</w:t>
            </w:r>
            <w:r>
              <w:rPr>
                <w:rFonts w:eastAsia="Times New Roman"/>
                <w:color w:val="000000"/>
                <w:szCs w:val="24"/>
                <w:lang w:eastAsia="fr-FR"/>
              </w:rPr>
              <w:t xml:space="preserve"> – frais d’études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03D28" w:rsidRDefault="00EA42B3" w:rsidP="00561DB2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84 078,23</w:t>
            </w:r>
          </w:p>
        </w:tc>
      </w:tr>
      <w:tr w:rsidR="005E61D7" w:rsidRPr="00003D28" w:rsidTr="00682EE9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03D28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03D28">
              <w:rPr>
                <w:rFonts w:eastAsia="Times New Roman"/>
                <w:color w:val="000000"/>
                <w:szCs w:val="24"/>
                <w:lang w:eastAsia="fr-FR"/>
              </w:rPr>
              <w:t>21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03D28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03D28">
              <w:rPr>
                <w:rFonts w:eastAsia="Times New Roman"/>
                <w:color w:val="000000"/>
                <w:szCs w:val="24"/>
                <w:lang w:eastAsia="fr-FR"/>
              </w:rPr>
              <w:t>Immobilisations corporelles</w:t>
            </w:r>
            <w:r>
              <w:rPr>
                <w:rFonts w:eastAsia="Times New Roman"/>
                <w:color w:val="000000"/>
                <w:szCs w:val="24"/>
                <w:lang w:eastAsia="fr-FR"/>
              </w:rPr>
              <w:t xml:space="preserve"> – travaux courants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03D28" w:rsidRDefault="00EA42B3" w:rsidP="00561DB2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2 698 844,23</w:t>
            </w:r>
          </w:p>
        </w:tc>
      </w:tr>
      <w:tr w:rsidR="007529CA" w:rsidRPr="00003D28" w:rsidTr="00682EE9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9CA" w:rsidRPr="00003D28" w:rsidRDefault="007529CA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204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9CA" w:rsidRPr="00003D28" w:rsidRDefault="007529CA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Subventions d’équipement versées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CA" w:rsidRDefault="00EA42B3" w:rsidP="00682EE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60 000,00</w:t>
            </w:r>
          </w:p>
        </w:tc>
      </w:tr>
      <w:tr w:rsidR="005E61D7" w:rsidRPr="00003D28" w:rsidTr="00682EE9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1D7" w:rsidRPr="00003D28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03D28">
              <w:rPr>
                <w:rFonts w:eastAsia="Times New Roman"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1D7" w:rsidRPr="00003D28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003D28">
              <w:rPr>
                <w:rFonts w:eastAsia="Times New Roman"/>
                <w:color w:val="000000"/>
                <w:szCs w:val="24"/>
                <w:lang w:eastAsia="fr-FR"/>
              </w:rPr>
              <w:t>Opérations d'équipement</w:t>
            </w:r>
            <w:r>
              <w:rPr>
                <w:rFonts w:eastAsia="Times New Roman"/>
                <w:color w:val="000000"/>
                <w:szCs w:val="24"/>
                <w:lang w:eastAsia="fr-FR"/>
              </w:rPr>
              <w:t xml:space="preserve"> – projets structurants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003D28" w:rsidRDefault="00EA42B3" w:rsidP="00682EE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5 313 696,77</w:t>
            </w:r>
          </w:p>
        </w:tc>
      </w:tr>
      <w:tr w:rsidR="005E61D7" w:rsidRPr="00003D28" w:rsidTr="00682EE9">
        <w:trPr>
          <w:trHeight w:val="315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5E61D7" w:rsidRPr="00003D28" w:rsidRDefault="005E61D7" w:rsidP="00682E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003D28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Total dépenses réelles d'investissement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5E61D7" w:rsidRPr="00003D28" w:rsidRDefault="005223FF" w:rsidP="007529C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10 039 705,46</w:t>
            </w:r>
          </w:p>
        </w:tc>
      </w:tr>
    </w:tbl>
    <w:p w:rsidR="005E61D7" w:rsidRDefault="005E61D7" w:rsidP="005E61D7"/>
    <w:p w:rsidR="005E61D7" w:rsidRDefault="005E61D7" w:rsidP="005E61D7">
      <w:r>
        <w:t>Le détail des recettes par chapitre est le suivant</w:t>
      </w:r>
      <w:r w:rsidR="00BD58B1">
        <w:t xml:space="preserve"> (y compris restes à réaliser)</w:t>
      </w:r>
      <w:r>
        <w:t>:</w:t>
      </w: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4507"/>
        <w:gridCol w:w="1985"/>
      </w:tblGrid>
      <w:tr w:rsidR="005E61D7" w:rsidRPr="002B6E14" w:rsidTr="00682EE9">
        <w:trPr>
          <w:trHeight w:val="31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5E61D7" w:rsidRPr="002B6E14" w:rsidRDefault="005E61D7" w:rsidP="00682E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2B6E14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 xml:space="preserve">Chapitre 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5E61D7" w:rsidRPr="002B6E14" w:rsidRDefault="005E61D7" w:rsidP="00682E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2B6E14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Libellé du chapitre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 xml:space="preserve"> - typologie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5E61D7" w:rsidRPr="002B6E14" w:rsidRDefault="005223FF" w:rsidP="00561D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CA 2019</w:t>
            </w:r>
          </w:p>
        </w:tc>
      </w:tr>
      <w:tr w:rsidR="005E61D7" w:rsidRPr="002B6E14" w:rsidTr="00682EE9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2B6E14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2B6E14">
              <w:rPr>
                <w:rFonts w:eastAsia="Times New Roman"/>
                <w:color w:val="000000"/>
                <w:szCs w:val="24"/>
                <w:lang w:eastAsia="fr-FR"/>
              </w:rPr>
              <w:t>10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2B6E14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2B6E14">
              <w:rPr>
                <w:rFonts w:eastAsia="Times New Roman"/>
                <w:color w:val="000000"/>
                <w:szCs w:val="24"/>
                <w:lang w:eastAsia="fr-FR"/>
              </w:rPr>
              <w:t>Dotations, fonds divers et réserve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2B6E14" w:rsidRDefault="005223FF" w:rsidP="00682EE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726 995,00</w:t>
            </w:r>
          </w:p>
        </w:tc>
      </w:tr>
      <w:tr w:rsidR="005E61D7" w:rsidRPr="002B6E14" w:rsidTr="00682EE9">
        <w:trPr>
          <w:trHeight w:val="378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2B6E14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2B6E14">
              <w:rPr>
                <w:rFonts w:eastAsia="Times New Roman"/>
                <w:color w:val="000000"/>
                <w:szCs w:val="24"/>
                <w:lang w:eastAsia="fr-FR"/>
              </w:rPr>
              <w:t>13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2B6E14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2B6E14">
              <w:rPr>
                <w:rFonts w:eastAsia="Times New Roman"/>
                <w:color w:val="000000"/>
                <w:szCs w:val="24"/>
                <w:lang w:eastAsia="fr-FR"/>
              </w:rPr>
              <w:t>Subventions d'investissements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2B6E14" w:rsidRDefault="005223FF" w:rsidP="00682EE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849 979,00</w:t>
            </w:r>
          </w:p>
        </w:tc>
      </w:tr>
      <w:tr w:rsidR="005E61D7" w:rsidRPr="002B6E14" w:rsidTr="00682EE9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2B6E14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2B6E14">
              <w:rPr>
                <w:rFonts w:eastAsia="Times New Roman"/>
                <w:color w:val="000000"/>
                <w:szCs w:val="24"/>
                <w:lang w:eastAsia="fr-FR"/>
              </w:rPr>
              <w:t>16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2B6E14" w:rsidRDefault="005E61D7" w:rsidP="00682E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2B6E14">
              <w:rPr>
                <w:rFonts w:eastAsia="Times New Roman"/>
                <w:color w:val="000000"/>
                <w:szCs w:val="24"/>
                <w:lang w:eastAsia="fr-FR"/>
              </w:rPr>
              <w:t>Emprunts et dettes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1D7" w:rsidRPr="002B6E14" w:rsidRDefault="005223FF" w:rsidP="00682EE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4 400 500,00</w:t>
            </w:r>
          </w:p>
        </w:tc>
      </w:tr>
      <w:tr w:rsidR="00561DB2" w:rsidRPr="002B6E14" w:rsidTr="00682EE9">
        <w:trPr>
          <w:trHeight w:val="315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  <w:hideMark/>
          </w:tcPr>
          <w:p w:rsidR="00561DB2" w:rsidRPr="002B6E14" w:rsidRDefault="00561DB2" w:rsidP="00682E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2B6E14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Total recettes réelles d'investissement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hideMark/>
          </w:tcPr>
          <w:p w:rsidR="00561DB2" w:rsidRPr="00561DB2" w:rsidRDefault="005223FF" w:rsidP="00561DB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5 977 474,00</w:t>
            </w:r>
          </w:p>
        </w:tc>
      </w:tr>
    </w:tbl>
    <w:p w:rsidR="005E61D7" w:rsidRDefault="005E61D7" w:rsidP="005E61D7"/>
    <w:p w:rsidR="005E61D7" w:rsidRDefault="005E61D7" w:rsidP="005E61D7">
      <w:pPr>
        <w:rPr>
          <w:b/>
        </w:rPr>
      </w:pPr>
    </w:p>
    <w:p w:rsidR="005E61D7" w:rsidRPr="00FE27A4" w:rsidRDefault="00FE27A4" w:rsidP="005E61D7">
      <w:pPr>
        <w:rPr>
          <w:i/>
          <w:sz w:val="20"/>
          <w:szCs w:val="20"/>
        </w:rPr>
      </w:pPr>
      <w:r w:rsidRPr="00FE27A4">
        <w:rPr>
          <w:i/>
          <w:sz w:val="20"/>
          <w:szCs w:val="20"/>
        </w:rPr>
        <w:t>NB : les écarts constaté</w:t>
      </w:r>
      <w:r>
        <w:rPr>
          <w:i/>
          <w:sz w:val="20"/>
          <w:szCs w:val="20"/>
        </w:rPr>
        <w:t>s entre le détail d</w:t>
      </w:r>
      <w:r w:rsidRPr="00FE27A4">
        <w:rPr>
          <w:i/>
          <w:sz w:val="20"/>
          <w:szCs w:val="20"/>
        </w:rPr>
        <w:t xml:space="preserve">es données </w:t>
      </w:r>
      <w:r>
        <w:rPr>
          <w:i/>
          <w:sz w:val="20"/>
          <w:szCs w:val="20"/>
        </w:rPr>
        <w:t xml:space="preserve">par section </w:t>
      </w:r>
      <w:r w:rsidRPr="00FE27A4">
        <w:rPr>
          <w:i/>
          <w:sz w:val="20"/>
          <w:szCs w:val="20"/>
        </w:rPr>
        <w:t xml:space="preserve">et </w:t>
      </w:r>
      <w:r>
        <w:rPr>
          <w:i/>
          <w:sz w:val="20"/>
          <w:szCs w:val="20"/>
        </w:rPr>
        <w:t>les données</w:t>
      </w:r>
      <w:r w:rsidRPr="00FE27A4">
        <w:rPr>
          <w:i/>
          <w:sz w:val="20"/>
          <w:szCs w:val="20"/>
        </w:rPr>
        <w:t xml:space="preserve"> du paragraphe relatif aux résultats </w:t>
      </w:r>
      <w:r>
        <w:rPr>
          <w:i/>
          <w:sz w:val="20"/>
          <w:szCs w:val="20"/>
        </w:rPr>
        <w:t xml:space="preserve">globaux </w:t>
      </w:r>
      <w:r w:rsidRPr="00FE27A4">
        <w:rPr>
          <w:i/>
          <w:sz w:val="20"/>
          <w:szCs w:val="20"/>
        </w:rPr>
        <w:t xml:space="preserve">du CA 2019 s’expliquent par les écritures d’ordre. </w:t>
      </w:r>
    </w:p>
    <w:p w:rsidR="00BD58B1" w:rsidRDefault="00BD58B1" w:rsidP="005E61D7">
      <w:r>
        <w:t xml:space="preserve"> </w:t>
      </w:r>
    </w:p>
    <w:p w:rsidR="00BD58B1" w:rsidRDefault="00BD58B1">
      <w:r>
        <w:br w:type="page"/>
      </w:r>
    </w:p>
    <w:p w:rsidR="00582C8A" w:rsidRDefault="00582C8A" w:rsidP="005E61D7">
      <w:pPr>
        <w:rPr>
          <w:b/>
        </w:rPr>
      </w:pPr>
    </w:p>
    <w:p w:rsidR="00582C8A" w:rsidRDefault="00582C8A" w:rsidP="005E61D7">
      <w:pPr>
        <w:rPr>
          <w:b/>
        </w:rPr>
      </w:pPr>
    </w:p>
    <w:p w:rsidR="005E61D7" w:rsidRPr="00947CC3" w:rsidRDefault="005E61D7" w:rsidP="005E61D7">
      <w:pPr>
        <w:rPr>
          <w:b/>
        </w:rPr>
      </w:pPr>
      <w:r w:rsidRPr="00947CC3">
        <w:rPr>
          <w:b/>
        </w:rPr>
        <w:t>La gestion de la dette</w:t>
      </w:r>
    </w:p>
    <w:p w:rsidR="005223FF" w:rsidRPr="005223FF" w:rsidRDefault="005223FF" w:rsidP="005223FF">
      <w:pPr>
        <w:numPr>
          <w:ilvl w:val="0"/>
          <w:numId w:val="1"/>
        </w:numPr>
        <w:rPr>
          <w:color w:val="000000"/>
        </w:rPr>
      </w:pPr>
      <w:r w:rsidRPr="005223FF">
        <w:rPr>
          <w:color w:val="000000"/>
        </w:rPr>
        <w:t>Un capital emprunté total de 25,9 millions d’euros et un capital restant dû de 17,6 millions d’euros</w:t>
      </w:r>
      <w:r w:rsidR="009F18F3">
        <w:rPr>
          <w:color w:val="000000"/>
        </w:rPr>
        <w:t> </w:t>
      </w:r>
      <w:r w:rsidR="00BF51E9">
        <w:rPr>
          <w:color w:val="000000"/>
        </w:rPr>
        <w:t>au 31 décembre 2019</w:t>
      </w:r>
      <w:r w:rsidR="009F18F3">
        <w:rPr>
          <w:color w:val="000000"/>
        </w:rPr>
        <w:t>;</w:t>
      </w:r>
    </w:p>
    <w:p w:rsidR="005223FF" w:rsidRPr="005223FF" w:rsidRDefault="005223FF" w:rsidP="005223FF">
      <w:pPr>
        <w:numPr>
          <w:ilvl w:val="0"/>
          <w:numId w:val="1"/>
        </w:numPr>
        <w:rPr>
          <w:color w:val="000000"/>
        </w:rPr>
      </w:pPr>
      <w:r w:rsidRPr="005223FF">
        <w:rPr>
          <w:color w:val="000000"/>
        </w:rPr>
        <w:t>Une durée de vie moyenne de 12 ans et 11 mois en 2020</w:t>
      </w:r>
      <w:r w:rsidR="009F18F3">
        <w:rPr>
          <w:color w:val="000000"/>
        </w:rPr>
        <w:t> ;</w:t>
      </w:r>
    </w:p>
    <w:p w:rsidR="005223FF" w:rsidRDefault="005223FF" w:rsidP="005223FF">
      <w:pPr>
        <w:numPr>
          <w:ilvl w:val="0"/>
          <w:numId w:val="1"/>
        </w:numPr>
        <w:rPr>
          <w:color w:val="000000"/>
        </w:rPr>
      </w:pPr>
      <w:r w:rsidRPr="005223FF">
        <w:rPr>
          <w:color w:val="000000"/>
        </w:rPr>
        <w:t xml:space="preserve">Un niveau de dette par habitant bien en </w:t>
      </w:r>
      <w:r w:rsidR="009F18F3">
        <w:rPr>
          <w:color w:val="000000"/>
        </w:rPr>
        <w:t>deçà de la moyenne de la strate.</w:t>
      </w:r>
    </w:p>
    <w:p w:rsidR="00582C8A" w:rsidRDefault="00582C8A" w:rsidP="00582C8A">
      <w:pPr>
        <w:ind w:left="720"/>
        <w:rPr>
          <w:color w:val="000000"/>
        </w:rPr>
      </w:pPr>
    </w:p>
    <w:p w:rsidR="009F18F3" w:rsidRDefault="00BF51E9" w:rsidP="009F18F3">
      <w:pPr>
        <w:rPr>
          <w:color w:val="000000"/>
        </w:rPr>
      </w:pPr>
      <w:r>
        <w:rPr>
          <w:noProof/>
          <w:lang w:eastAsia="fr-FR"/>
        </w:rPr>
        <w:drawing>
          <wp:inline distT="0" distB="0" distL="0" distR="0" wp14:anchorId="2DCB5748" wp14:editId="6DE9BBD4">
            <wp:extent cx="5897880" cy="2743200"/>
            <wp:effectExtent l="0" t="0" r="7620" b="0"/>
            <wp:docPr id="1" name="Graphique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18F3" w:rsidRPr="005223FF" w:rsidRDefault="009F18F3" w:rsidP="009F18F3">
      <w:pPr>
        <w:rPr>
          <w:color w:val="000000"/>
        </w:rPr>
      </w:pPr>
    </w:p>
    <w:p w:rsidR="00582C8A" w:rsidRDefault="00582C8A">
      <w:pPr>
        <w:rPr>
          <w:b/>
        </w:rPr>
      </w:pPr>
      <w:r>
        <w:rPr>
          <w:b/>
        </w:rPr>
        <w:br w:type="page"/>
      </w:r>
    </w:p>
    <w:p w:rsidR="00582C8A" w:rsidRDefault="00582C8A" w:rsidP="005E61D7">
      <w:pPr>
        <w:rPr>
          <w:b/>
        </w:rPr>
      </w:pPr>
    </w:p>
    <w:p w:rsidR="005E61D7" w:rsidRDefault="005E61D7" w:rsidP="005E61D7">
      <w:pPr>
        <w:rPr>
          <w:b/>
        </w:rPr>
      </w:pPr>
      <w:r w:rsidRPr="00E40D2C">
        <w:rPr>
          <w:b/>
        </w:rPr>
        <w:t>Les ratios financiers réglementaires</w:t>
      </w:r>
      <w:r>
        <w:rPr>
          <w:b/>
        </w:rPr>
        <w:t>:</w:t>
      </w:r>
      <w:r w:rsidRPr="00E40D2C">
        <w:rPr>
          <w:b/>
        </w:rPr>
        <w:t xml:space="preserve"> </w:t>
      </w:r>
    </w:p>
    <w:p w:rsidR="005E61D7" w:rsidRPr="00E57BDA" w:rsidRDefault="005E61D7" w:rsidP="005E61D7">
      <w:r w:rsidRPr="00E57BDA">
        <w:t>Les ratios ci-dessous permettent de comparer la situation de la ville de Décines-Charpieu à la moyenne des communes de la même strate de population soit entre 20</w:t>
      </w:r>
      <w:r>
        <w:t xml:space="preserve"> 000 et 50 000 habitants. </w:t>
      </w:r>
    </w:p>
    <w:tbl>
      <w:tblPr>
        <w:tblW w:w="834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420"/>
        <w:gridCol w:w="1420"/>
        <w:gridCol w:w="1300"/>
      </w:tblGrid>
      <w:tr w:rsidR="00755660" w:rsidRPr="00755660" w:rsidTr="00582C8A">
        <w:trPr>
          <w:trHeight w:val="63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noWrap/>
            <w:vAlign w:val="center"/>
            <w:hideMark/>
          </w:tcPr>
          <w:p w:rsidR="00755660" w:rsidRPr="00755660" w:rsidRDefault="00755660" w:rsidP="007556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755660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3BC" w:themeFill="accent3" w:themeFillTint="66"/>
            <w:noWrap/>
            <w:vAlign w:val="center"/>
            <w:hideMark/>
          </w:tcPr>
          <w:p w:rsidR="00755660" w:rsidRPr="00755660" w:rsidRDefault="00755660" w:rsidP="007556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755660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Informations financières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noWrap/>
            <w:vAlign w:val="center"/>
            <w:hideMark/>
          </w:tcPr>
          <w:p w:rsidR="00755660" w:rsidRPr="00755660" w:rsidRDefault="00755660" w:rsidP="009F18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 w:rsidRPr="00755660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 xml:space="preserve">Valeurs </w:t>
            </w:r>
            <w:r w:rsidR="009F18F3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vAlign w:val="center"/>
            <w:hideMark/>
          </w:tcPr>
          <w:p w:rsidR="00755660" w:rsidRPr="00755660" w:rsidRDefault="00582C8A" w:rsidP="007556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M</w:t>
            </w:r>
            <w:r w:rsidR="00755660" w:rsidRPr="00755660"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>oyenne de la strate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fr-FR"/>
              </w:rPr>
              <w:t xml:space="preserve"> (DGCL 2018)</w:t>
            </w:r>
          </w:p>
        </w:tc>
      </w:tr>
      <w:tr w:rsidR="00755660" w:rsidRPr="00755660" w:rsidTr="00582C8A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hideMark/>
          </w:tcPr>
          <w:p w:rsidR="00755660" w:rsidRPr="00755660" w:rsidRDefault="00755660" w:rsidP="007556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755660">
              <w:rPr>
                <w:rFonts w:eastAsia="Times New Roman"/>
                <w:b/>
                <w:bCs/>
                <w:szCs w:val="24"/>
                <w:lang w:eastAsia="fr-FR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660" w:rsidRPr="00755660" w:rsidRDefault="00755660" w:rsidP="0075566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755660">
              <w:rPr>
                <w:rFonts w:eastAsia="Times New Roman"/>
                <w:szCs w:val="24"/>
                <w:lang w:eastAsia="fr-FR"/>
              </w:rPr>
              <w:t>Dépenses réelles de fonctionnement/population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660" w:rsidRPr="00755660" w:rsidRDefault="009F18F3" w:rsidP="009F18F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1 102,56 €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660" w:rsidRPr="00755660" w:rsidRDefault="00755660" w:rsidP="0075566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 xml:space="preserve">  1 380,00 € </w:t>
            </w:r>
          </w:p>
        </w:tc>
      </w:tr>
      <w:tr w:rsidR="00755660" w:rsidRPr="00755660" w:rsidTr="00582C8A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hideMark/>
          </w:tcPr>
          <w:p w:rsidR="00755660" w:rsidRPr="00755660" w:rsidRDefault="00755660" w:rsidP="007556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755660">
              <w:rPr>
                <w:rFonts w:eastAsia="Times New Roman"/>
                <w:b/>
                <w:bCs/>
                <w:szCs w:val="24"/>
                <w:lang w:eastAsia="fr-FR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660" w:rsidRPr="00755660" w:rsidRDefault="00755660" w:rsidP="0075566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755660">
              <w:rPr>
                <w:rFonts w:eastAsia="Times New Roman"/>
                <w:szCs w:val="24"/>
                <w:lang w:eastAsia="fr-FR"/>
              </w:rPr>
              <w:t>Produit des impositions directes /population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60" w:rsidRPr="00755660" w:rsidRDefault="00755660" w:rsidP="009F18F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 xml:space="preserve">       </w:t>
            </w:r>
            <w:r w:rsidR="009F18F3">
              <w:rPr>
                <w:rFonts w:eastAsia="Times New Roman"/>
                <w:color w:val="000000"/>
                <w:szCs w:val="24"/>
                <w:lang w:eastAsia="fr-FR"/>
              </w:rPr>
              <w:t>548,01</w:t>
            </w: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 xml:space="preserve"> €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60" w:rsidRPr="00755660" w:rsidRDefault="00755660" w:rsidP="0075566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 xml:space="preserve">     625,00 € </w:t>
            </w:r>
          </w:p>
        </w:tc>
      </w:tr>
      <w:tr w:rsidR="00755660" w:rsidRPr="00755660" w:rsidTr="00582C8A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hideMark/>
          </w:tcPr>
          <w:p w:rsidR="00755660" w:rsidRPr="00755660" w:rsidRDefault="00755660" w:rsidP="007556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755660">
              <w:rPr>
                <w:rFonts w:eastAsia="Times New Roman"/>
                <w:b/>
                <w:bCs/>
                <w:szCs w:val="24"/>
                <w:lang w:eastAsia="fr-FR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660" w:rsidRPr="00755660" w:rsidRDefault="00755660" w:rsidP="0075566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755660">
              <w:rPr>
                <w:rFonts w:eastAsia="Times New Roman"/>
                <w:szCs w:val="24"/>
                <w:lang w:eastAsia="fr-FR"/>
              </w:rPr>
              <w:t>Recettes réelles de fonctionnement/population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60" w:rsidRPr="00755660" w:rsidRDefault="00755660" w:rsidP="009F18F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 xml:space="preserve">    </w:t>
            </w:r>
            <w:r w:rsidR="009F18F3">
              <w:rPr>
                <w:rFonts w:eastAsia="Times New Roman"/>
                <w:color w:val="000000"/>
                <w:szCs w:val="24"/>
                <w:lang w:eastAsia="fr-FR"/>
              </w:rPr>
              <w:t>1 243,85</w:t>
            </w: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 xml:space="preserve"> €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60" w:rsidRPr="00755660" w:rsidRDefault="00755660" w:rsidP="0075566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 xml:space="preserve">  1 515,00 € </w:t>
            </w:r>
          </w:p>
        </w:tc>
      </w:tr>
      <w:tr w:rsidR="00755660" w:rsidRPr="00755660" w:rsidTr="00582C8A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hideMark/>
          </w:tcPr>
          <w:p w:rsidR="00755660" w:rsidRPr="00755660" w:rsidRDefault="00755660" w:rsidP="007556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755660">
              <w:rPr>
                <w:rFonts w:eastAsia="Times New Roman"/>
                <w:b/>
                <w:bCs/>
                <w:szCs w:val="24"/>
                <w:lang w:eastAsia="fr-FR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660" w:rsidRPr="00755660" w:rsidRDefault="00755660" w:rsidP="0075566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755660">
              <w:rPr>
                <w:rFonts w:eastAsia="Times New Roman"/>
                <w:szCs w:val="24"/>
                <w:lang w:eastAsia="fr-FR"/>
              </w:rPr>
              <w:t>Dépenses d’équipement brut/population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60" w:rsidRPr="00755660" w:rsidRDefault="00755660" w:rsidP="009F18F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 xml:space="preserve">       </w:t>
            </w:r>
            <w:r w:rsidR="009F18F3">
              <w:rPr>
                <w:rFonts w:eastAsia="Times New Roman"/>
                <w:color w:val="000000"/>
                <w:szCs w:val="24"/>
                <w:lang w:eastAsia="fr-FR"/>
              </w:rPr>
              <w:t>277,25</w:t>
            </w: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 xml:space="preserve"> €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60" w:rsidRPr="00755660" w:rsidRDefault="00755660" w:rsidP="0075566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 xml:space="preserve">     324,00 € </w:t>
            </w:r>
          </w:p>
        </w:tc>
      </w:tr>
      <w:tr w:rsidR="00755660" w:rsidRPr="00755660" w:rsidTr="00582C8A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hideMark/>
          </w:tcPr>
          <w:p w:rsidR="00755660" w:rsidRPr="00755660" w:rsidRDefault="00755660" w:rsidP="007556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755660">
              <w:rPr>
                <w:rFonts w:eastAsia="Times New Roman"/>
                <w:b/>
                <w:bCs/>
                <w:szCs w:val="24"/>
                <w:lang w:eastAsia="fr-FR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660" w:rsidRPr="00755660" w:rsidRDefault="00755660" w:rsidP="0075566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755660">
              <w:rPr>
                <w:rFonts w:eastAsia="Times New Roman"/>
                <w:szCs w:val="24"/>
                <w:lang w:eastAsia="fr-FR"/>
              </w:rPr>
              <w:t>Encours de dette/population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60" w:rsidRPr="00755660" w:rsidRDefault="00755660" w:rsidP="009F18F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 xml:space="preserve">       </w:t>
            </w:r>
            <w:r w:rsidR="009F18F3">
              <w:rPr>
                <w:rFonts w:eastAsia="Times New Roman"/>
                <w:color w:val="000000"/>
                <w:szCs w:val="24"/>
                <w:lang w:eastAsia="fr-FR"/>
              </w:rPr>
              <w:t>624,39</w:t>
            </w: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 xml:space="preserve"> €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60" w:rsidRPr="00755660" w:rsidRDefault="00755660" w:rsidP="0075566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 xml:space="preserve">  1 036,00 € </w:t>
            </w:r>
          </w:p>
        </w:tc>
      </w:tr>
      <w:tr w:rsidR="00755660" w:rsidRPr="00755660" w:rsidTr="00582C8A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hideMark/>
          </w:tcPr>
          <w:p w:rsidR="00755660" w:rsidRPr="00755660" w:rsidRDefault="00755660" w:rsidP="007556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755660">
              <w:rPr>
                <w:rFonts w:eastAsia="Times New Roman"/>
                <w:b/>
                <w:bCs/>
                <w:szCs w:val="24"/>
                <w:lang w:eastAsia="fr-FR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660" w:rsidRPr="00755660" w:rsidRDefault="00755660" w:rsidP="0075566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755660">
              <w:rPr>
                <w:rFonts w:eastAsia="Times New Roman"/>
                <w:szCs w:val="24"/>
                <w:lang w:eastAsia="fr-FR"/>
              </w:rPr>
              <w:t>DGF/population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60" w:rsidRPr="00755660" w:rsidRDefault="00755660" w:rsidP="009F18F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 xml:space="preserve">         </w:t>
            </w:r>
            <w:r w:rsidR="009F18F3">
              <w:rPr>
                <w:rFonts w:eastAsia="Times New Roman"/>
                <w:color w:val="000000"/>
                <w:szCs w:val="24"/>
                <w:lang w:eastAsia="fr-FR"/>
              </w:rPr>
              <w:t>51,90</w:t>
            </w: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 xml:space="preserve"> €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60" w:rsidRPr="00755660" w:rsidRDefault="00755660" w:rsidP="0075566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 xml:space="preserve">     199,00 € </w:t>
            </w:r>
          </w:p>
        </w:tc>
      </w:tr>
      <w:tr w:rsidR="00755660" w:rsidRPr="00755660" w:rsidTr="00582C8A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hideMark/>
          </w:tcPr>
          <w:p w:rsidR="00755660" w:rsidRPr="00755660" w:rsidRDefault="00755660" w:rsidP="007556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755660">
              <w:rPr>
                <w:rFonts w:eastAsia="Times New Roman"/>
                <w:b/>
                <w:bCs/>
                <w:szCs w:val="24"/>
                <w:lang w:eastAsia="fr-FR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660" w:rsidRPr="00755660" w:rsidRDefault="00755660" w:rsidP="0075566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755660">
              <w:rPr>
                <w:rFonts w:eastAsia="Times New Roman"/>
                <w:szCs w:val="24"/>
                <w:lang w:eastAsia="fr-FR"/>
              </w:rPr>
              <w:t>Dépenses de personnel/dépenses réelles de fonctionnement (2)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60" w:rsidRPr="00755660" w:rsidRDefault="00755660" w:rsidP="009F18F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>66,</w:t>
            </w:r>
            <w:r w:rsidR="009F18F3">
              <w:rPr>
                <w:rFonts w:eastAsia="Times New Roman"/>
                <w:color w:val="000000"/>
                <w:szCs w:val="24"/>
                <w:lang w:eastAsia="fr-FR"/>
              </w:rPr>
              <w:t>26</w:t>
            </w: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60" w:rsidRPr="00755660" w:rsidRDefault="00755660" w:rsidP="00755660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>59,57%</w:t>
            </w:r>
          </w:p>
        </w:tc>
      </w:tr>
      <w:tr w:rsidR="00755660" w:rsidRPr="00755660" w:rsidTr="00582C8A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hideMark/>
          </w:tcPr>
          <w:p w:rsidR="00755660" w:rsidRPr="00755660" w:rsidRDefault="00755660" w:rsidP="007556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755660">
              <w:rPr>
                <w:rFonts w:eastAsia="Times New Roman"/>
                <w:b/>
                <w:bCs/>
                <w:szCs w:val="24"/>
                <w:lang w:eastAsia="fr-FR"/>
              </w:rP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660" w:rsidRPr="00755660" w:rsidRDefault="00755660" w:rsidP="0075566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755660">
              <w:rPr>
                <w:rFonts w:eastAsia="Times New Roman"/>
                <w:szCs w:val="24"/>
                <w:lang w:eastAsia="fr-FR"/>
              </w:rPr>
              <w:t xml:space="preserve">Dépenses de </w:t>
            </w:r>
            <w:proofErr w:type="spellStart"/>
            <w:r w:rsidRPr="00755660">
              <w:rPr>
                <w:rFonts w:eastAsia="Times New Roman"/>
                <w:szCs w:val="24"/>
                <w:lang w:eastAsia="fr-FR"/>
              </w:rPr>
              <w:t>fonct</w:t>
            </w:r>
            <w:proofErr w:type="spellEnd"/>
            <w:r w:rsidRPr="00755660">
              <w:rPr>
                <w:rFonts w:eastAsia="Times New Roman"/>
                <w:szCs w:val="24"/>
                <w:lang w:eastAsia="fr-FR"/>
              </w:rPr>
              <w:t xml:space="preserve">. et </w:t>
            </w:r>
            <w:proofErr w:type="spellStart"/>
            <w:r w:rsidRPr="00755660">
              <w:rPr>
                <w:rFonts w:eastAsia="Times New Roman"/>
                <w:szCs w:val="24"/>
                <w:lang w:eastAsia="fr-FR"/>
              </w:rPr>
              <w:t>remb</w:t>
            </w:r>
            <w:proofErr w:type="spellEnd"/>
            <w:r w:rsidRPr="00755660">
              <w:rPr>
                <w:rFonts w:eastAsia="Times New Roman"/>
                <w:szCs w:val="24"/>
                <w:lang w:eastAsia="fr-FR"/>
              </w:rPr>
              <w:t xml:space="preserve">. dette en capital/recettes réelles de </w:t>
            </w:r>
            <w:proofErr w:type="spellStart"/>
            <w:r w:rsidRPr="00755660">
              <w:rPr>
                <w:rFonts w:eastAsia="Times New Roman"/>
                <w:szCs w:val="24"/>
                <w:lang w:eastAsia="fr-FR"/>
              </w:rPr>
              <w:t>fonct</w:t>
            </w:r>
            <w:proofErr w:type="spellEnd"/>
            <w:r w:rsidRPr="00755660">
              <w:rPr>
                <w:rFonts w:eastAsia="Times New Roman"/>
                <w:szCs w:val="24"/>
                <w:lang w:eastAsia="fr-FR"/>
              </w:rPr>
              <w:t>. (2)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60" w:rsidRPr="00755660" w:rsidRDefault="009F18F3" w:rsidP="00755660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94,00</w:t>
            </w:r>
            <w:r w:rsidR="00755660" w:rsidRPr="00755660">
              <w:rPr>
                <w:rFonts w:eastAsia="Times New Roman"/>
                <w:color w:val="000000"/>
                <w:szCs w:val="24"/>
                <w:lang w:eastAsia="fr-F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60" w:rsidRPr="00755660" w:rsidRDefault="00755660" w:rsidP="00755660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>98,02%</w:t>
            </w:r>
          </w:p>
        </w:tc>
      </w:tr>
      <w:tr w:rsidR="00755660" w:rsidRPr="00755660" w:rsidTr="00582C8A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hideMark/>
          </w:tcPr>
          <w:p w:rsidR="00755660" w:rsidRPr="00755660" w:rsidRDefault="00755660" w:rsidP="007556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755660">
              <w:rPr>
                <w:rFonts w:eastAsia="Times New Roman"/>
                <w:b/>
                <w:bCs/>
                <w:szCs w:val="24"/>
                <w:lang w:eastAsia="fr-FR"/>
              </w:rP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660" w:rsidRPr="00755660" w:rsidRDefault="00755660" w:rsidP="0075566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755660">
              <w:rPr>
                <w:rFonts w:eastAsia="Times New Roman"/>
                <w:szCs w:val="24"/>
                <w:lang w:eastAsia="fr-FR"/>
              </w:rPr>
              <w:t>Dépenses d’équipement brut/recettes réelles de fonctionnement (2)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60" w:rsidRPr="00755660" w:rsidRDefault="009F18F3" w:rsidP="00755660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22,29</w:t>
            </w:r>
            <w:r w:rsidR="00755660" w:rsidRPr="00755660">
              <w:rPr>
                <w:rFonts w:eastAsia="Times New Roman"/>
                <w:color w:val="000000"/>
                <w:szCs w:val="24"/>
                <w:lang w:eastAsia="fr-F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60" w:rsidRPr="00755660" w:rsidRDefault="00755660" w:rsidP="00755660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>21,39%</w:t>
            </w:r>
          </w:p>
        </w:tc>
      </w:tr>
      <w:tr w:rsidR="00755660" w:rsidRPr="00755660" w:rsidTr="00582C8A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 w:themeFill="accent3" w:themeFillTint="66"/>
            <w:hideMark/>
          </w:tcPr>
          <w:p w:rsidR="00755660" w:rsidRPr="00755660" w:rsidRDefault="00755660" w:rsidP="007556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fr-FR"/>
              </w:rPr>
            </w:pPr>
            <w:r w:rsidRPr="00755660">
              <w:rPr>
                <w:rFonts w:eastAsia="Times New Roman"/>
                <w:b/>
                <w:bCs/>
                <w:szCs w:val="24"/>
                <w:lang w:eastAsia="fr-FR"/>
              </w:rPr>
              <w:t>10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660" w:rsidRPr="00755660" w:rsidRDefault="00755660" w:rsidP="0075566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755660">
              <w:rPr>
                <w:rFonts w:eastAsia="Times New Roman"/>
                <w:szCs w:val="24"/>
                <w:lang w:eastAsia="fr-FR"/>
              </w:rPr>
              <w:t>Encours de la dette/recettes réelles de fonctionnement (2)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60" w:rsidRPr="00755660" w:rsidRDefault="009F18F3" w:rsidP="00755660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Cs w:val="24"/>
                <w:lang w:eastAsia="fr-FR"/>
              </w:rPr>
              <w:t>50,20</w:t>
            </w:r>
            <w:r w:rsidR="00755660" w:rsidRPr="00755660">
              <w:rPr>
                <w:rFonts w:eastAsia="Times New Roman"/>
                <w:color w:val="000000"/>
                <w:szCs w:val="24"/>
                <w:lang w:eastAsia="fr-FR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60" w:rsidRPr="00755660" w:rsidRDefault="00755660" w:rsidP="00755660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755660">
              <w:rPr>
                <w:rFonts w:eastAsia="Times New Roman"/>
                <w:color w:val="000000"/>
                <w:szCs w:val="24"/>
                <w:lang w:eastAsia="fr-FR"/>
              </w:rPr>
              <w:t>71,11%</w:t>
            </w:r>
          </w:p>
        </w:tc>
      </w:tr>
    </w:tbl>
    <w:p w:rsidR="005E61D7" w:rsidRDefault="005E61D7" w:rsidP="005E61D7"/>
    <w:p w:rsidR="00682EE9" w:rsidRDefault="00682EE9"/>
    <w:sectPr w:rsidR="00682EE9" w:rsidSect="00682EE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8A" w:rsidRDefault="00582C8A" w:rsidP="00131012">
      <w:pPr>
        <w:spacing w:after="0" w:line="240" w:lineRule="auto"/>
      </w:pPr>
      <w:r>
        <w:separator/>
      </w:r>
    </w:p>
  </w:endnote>
  <w:endnote w:type="continuationSeparator" w:id="0">
    <w:p w:rsidR="00582C8A" w:rsidRDefault="00582C8A" w:rsidP="0013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8A" w:rsidRDefault="00582C8A" w:rsidP="009F18F3">
    <w:pPr>
      <w:pStyle w:val="Pieddepage"/>
      <w:spacing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5C14">
      <w:rPr>
        <w:noProof/>
      </w:rPr>
      <w:t>2</w:t>
    </w:r>
    <w:r>
      <w:rPr>
        <w:noProof/>
      </w:rPr>
      <w:fldChar w:fldCharType="end"/>
    </w:r>
  </w:p>
  <w:p w:rsidR="00582C8A" w:rsidRPr="00406202" w:rsidRDefault="00582C8A" w:rsidP="009F18F3">
    <w:pPr>
      <w:pStyle w:val="Pieddepage"/>
      <w:spacing w:after="0" w:line="240" w:lineRule="auto"/>
      <w:jc w:val="center"/>
      <w:rPr>
        <w:sz w:val="18"/>
      </w:rPr>
    </w:pPr>
    <w:r w:rsidRPr="00406202">
      <w:rPr>
        <w:sz w:val="18"/>
      </w:rPr>
      <w:t>Hôtel de Ville – Place Roger Salengro – Tél. 04 72 93 30 30 – Télécopie 04 72 93 30 31</w:t>
    </w:r>
  </w:p>
  <w:p w:rsidR="00582C8A" w:rsidRPr="00406202" w:rsidRDefault="00582C8A" w:rsidP="009F18F3">
    <w:pPr>
      <w:pStyle w:val="Pieddepage"/>
      <w:spacing w:after="0" w:line="240" w:lineRule="auto"/>
      <w:jc w:val="center"/>
      <w:rPr>
        <w:sz w:val="18"/>
      </w:rPr>
    </w:pPr>
    <w:r w:rsidRPr="00406202">
      <w:rPr>
        <w:sz w:val="18"/>
      </w:rPr>
      <w:t>Services Techniques – Tél. 04 72 93 30 40 – Télécopie 04 72 93 30 41</w:t>
    </w:r>
  </w:p>
  <w:p w:rsidR="00582C8A" w:rsidRPr="00406202" w:rsidRDefault="00582C8A" w:rsidP="009F18F3">
    <w:pPr>
      <w:pStyle w:val="Pieddepage"/>
      <w:spacing w:after="0" w:line="240" w:lineRule="auto"/>
      <w:jc w:val="center"/>
      <w:rPr>
        <w:sz w:val="18"/>
      </w:rPr>
    </w:pPr>
    <w:r w:rsidRPr="00406202">
      <w:rPr>
        <w:sz w:val="18"/>
      </w:rPr>
      <w:t>Toute correspondance doit être adressée impersonnellement à Madame le Maire – B.P. 175 – 69151 Décines-Charpieu Cedex</w:t>
    </w:r>
  </w:p>
  <w:p w:rsidR="00582C8A" w:rsidRPr="00406202" w:rsidRDefault="00582C8A" w:rsidP="009F18F3">
    <w:pPr>
      <w:pStyle w:val="Pieddepage"/>
      <w:spacing w:after="0" w:line="240" w:lineRule="auto"/>
      <w:jc w:val="center"/>
      <w:rPr>
        <w:b/>
        <w:sz w:val="18"/>
      </w:rPr>
    </w:pPr>
    <w:r w:rsidRPr="00406202">
      <w:rPr>
        <w:b/>
        <w:sz w:val="18"/>
      </w:rPr>
      <w:t>www.decines-charpieu.fr</w:t>
    </w:r>
  </w:p>
  <w:p w:rsidR="00582C8A" w:rsidRDefault="00582C8A">
    <w:pPr>
      <w:pStyle w:val="Pieddepage"/>
      <w:jc w:val="center"/>
    </w:pPr>
  </w:p>
  <w:p w:rsidR="00582C8A" w:rsidRDefault="00582C8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8A" w:rsidRDefault="00582C8A" w:rsidP="00131012">
      <w:pPr>
        <w:spacing w:after="0" w:line="240" w:lineRule="auto"/>
      </w:pPr>
      <w:r>
        <w:separator/>
      </w:r>
    </w:p>
  </w:footnote>
  <w:footnote w:type="continuationSeparator" w:id="0">
    <w:p w:rsidR="00582C8A" w:rsidRDefault="00582C8A" w:rsidP="00131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8A" w:rsidRDefault="00582C8A" w:rsidP="009F18F3">
    <w:pPr>
      <w:pStyle w:val="En-tte"/>
      <w:jc w:val="center"/>
    </w:pPr>
    <w:r w:rsidRPr="009F18F3">
      <w:rPr>
        <w:noProof/>
        <w:lang w:eastAsia="fr-FR"/>
      </w:rPr>
      <w:drawing>
        <wp:inline distT="0" distB="0" distL="0" distR="0">
          <wp:extent cx="788763" cy="891961"/>
          <wp:effectExtent l="19050" t="0" r="0" b="0"/>
          <wp:docPr id="2" name="Image 2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Image 1" descr="image0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82513"/>
                  <a:stretch>
                    <a:fillRect/>
                  </a:stretch>
                </pic:blipFill>
                <pic:spPr bwMode="auto">
                  <a:xfrm>
                    <a:off x="0" y="0"/>
                    <a:ext cx="789743" cy="89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2323"/>
    <w:multiLevelType w:val="hybridMultilevel"/>
    <w:tmpl w:val="7BC49AA8"/>
    <w:lvl w:ilvl="0" w:tplc="B8D0821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63055F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05641F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9AAE8E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C6BE0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234E33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CFE16C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488F6A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9A549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1D7"/>
    <w:rsid w:val="00061161"/>
    <w:rsid w:val="00131012"/>
    <w:rsid w:val="001E285E"/>
    <w:rsid w:val="00263DCB"/>
    <w:rsid w:val="003906FA"/>
    <w:rsid w:val="004520FE"/>
    <w:rsid w:val="005223FF"/>
    <w:rsid w:val="00524F7B"/>
    <w:rsid w:val="00535759"/>
    <w:rsid w:val="00561DB2"/>
    <w:rsid w:val="00582C8A"/>
    <w:rsid w:val="005E61D7"/>
    <w:rsid w:val="00682EE9"/>
    <w:rsid w:val="00727434"/>
    <w:rsid w:val="007529CA"/>
    <w:rsid w:val="00755660"/>
    <w:rsid w:val="007A6E71"/>
    <w:rsid w:val="0096651B"/>
    <w:rsid w:val="009F18F3"/>
    <w:rsid w:val="00A03C8A"/>
    <w:rsid w:val="00A200EF"/>
    <w:rsid w:val="00BD58B1"/>
    <w:rsid w:val="00BF51E9"/>
    <w:rsid w:val="00C1241D"/>
    <w:rsid w:val="00CA3B0A"/>
    <w:rsid w:val="00CC4B0D"/>
    <w:rsid w:val="00D023F1"/>
    <w:rsid w:val="00EA42B3"/>
    <w:rsid w:val="00F15C14"/>
    <w:rsid w:val="00FB220F"/>
    <w:rsid w:val="00F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1D7"/>
    <w:rPr>
      <w:rFonts w:ascii="Times New Roman" w:eastAsia="Calibri" w:hAnsi="Times New Roman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E61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61D7"/>
    <w:rPr>
      <w:rFonts w:ascii="Times New Roman" w:eastAsia="Calibri" w:hAnsi="Times New Roman" w:cs="Times New Roman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61D7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F1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18F3"/>
    <w:rPr>
      <w:rFonts w:ascii="Times New Roman" w:eastAsia="Calibri" w:hAnsi="Times New Roman" w:cs="Times New Roman"/>
      <w:sz w:val="24"/>
    </w:rPr>
  </w:style>
  <w:style w:type="table" w:styleId="Grilledutableau">
    <w:name w:val="Table Grid"/>
    <w:basedOn w:val="TableauNormal"/>
    <w:uiPriority w:val="59"/>
    <w:rsid w:val="0072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02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510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7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11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0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1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79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4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63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de_calcul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'BP dette'!$A$2</c:f>
              <c:strCache>
                <c:ptCount val="1"/>
                <c:pt idx="0">
                  <c:v>Dette par habitant en €</c:v>
                </c:pt>
              </c:strCache>
            </c:strRef>
          </c:tx>
          <c:invertIfNegative val="0"/>
          <c:cat>
            <c:numRef>
              <c:f>'BP dette'!$B$1:$G$1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'BP dette'!$B$2:$F$2</c:f>
              <c:numCache>
                <c:formatCode>General</c:formatCode>
                <c:ptCount val="5"/>
                <c:pt idx="0" formatCode="&quot;€&quot;#,##0.00_);[Red]\(&quot;€&quot;#,##0.00\)">
                  <c:v>526.36</c:v>
                </c:pt>
                <c:pt idx="1">
                  <c:v>579.79999999999995</c:v>
                </c:pt>
                <c:pt idx="2">
                  <c:v>595.63</c:v>
                </c:pt>
                <c:pt idx="3">
                  <c:v>550.94000000000005</c:v>
                </c:pt>
                <c:pt idx="4" formatCode="0.00">
                  <c:v>534.24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F28-4D3B-9BA3-7FB3A9FBEDC2}"/>
            </c:ext>
          </c:extLst>
        </c:ser>
        <c:ser>
          <c:idx val="1"/>
          <c:order val="1"/>
          <c:tx>
            <c:strRef>
              <c:f>'BP dette'!$A$3</c:f>
              <c:strCache>
                <c:ptCount val="1"/>
                <c:pt idx="0">
                  <c:v>Moyenne de la strate</c:v>
                </c:pt>
              </c:strCache>
            </c:strRef>
          </c:tx>
          <c:invertIfNegative val="0"/>
          <c:cat>
            <c:numRef>
              <c:f>'BP dette'!$B$1:$G$1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'BP dette'!$B$3:$F$3</c:f>
              <c:numCache>
                <c:formatCode>General</c:formatCode>
                <c:ptCount val="5"/>
                <c:pt idx="0">
                  <c:v>1092</c:v>
                </c:pt>
                <c:pt idx="1">
                  <c:v>1100</c:v>
                </c:pt>
                <c:pt idx="2">
                  <c:v>1109</c:v>
                </c:pt>
                <c:pt idx="3">
                  <c:v>1095</c:v>
                </c:pt>
                <c:pt idx="4">
                  <c:v>1063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F28-4D3B-9BA3-7FB3A9FBED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2179840"/>
        <c:axId val="34563200"/>
      </c:barChart>
      <c:catAx>
        <c:axId val="92179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4563200"/>
        <c:crosses val="autoZero"/>
        <c:auto val="1"/>
        <c:lblAlgn val="ctr"/>
        <c:lblOffset val="100"/>
        <c:noMultiLvlLbl val="0"/>
      </c:catAx>
      <c:valAx>
        <c:axId val="34563200"/>
        <c:scaling>
          <c:orientation val="minMax"/>
        </c:scaling>
        <c:delete val="0"/>
        <c:axPos val="l"/>
        <c:majorGridlines/>
        <c:numFmt formatCode="&quot;€&quot;#,##0.00_);[Red]\(&quot;€&quot;#,##0.00\)" sourceLinked="1"/>
        <c:majorTickMark val="out"/>
        <c:minorTickMark val="none"/>
        <c:tickLblPos val="nextTo"/>
        <c:crossAx val="921798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901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a.salze</dc:creator>
  <cp:lastModifiedBy>l.augros</cp:lastModifiedBy>
  <cp:revision>18</cp:revision>
  <cp:lastPrinted>2020-07-06T11:42:00Z</cp:lastPrinted>
  <dcterms:created xsi:type="dcterms:W3CDTF">2020-07-01T16:11:00Z</dcterms:created>
  <dcterms:modified xsi:type="dcterms:W3CDTF">2020-07-13T12:11:00Z</dcterms:modified>
</cp:coreProperties>
</file>